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4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《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广东省劳动保障监察文书送达工作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4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（征求意见稿）》政策解读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送达是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行政执法</w:t>
      </w:r>
      <w:r>
        <w:rPr>
          <w:rFonts w:hint="default" w:ascii="Times New Roman" w:hAnsi="Times New Roman" w:eastAsia="华文仿宋" w:cs="Times New Roman"/>
          <w:sz w:val="32"/>
          <w:szCs w:val="32"/>
        </w:rPr>
        <w:t>的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基础工作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，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事关当事人合法权益保障，事关</w:t>
      </w:r>
      <w:r>
        <w:rPr>
          <w:rFonts w:hint="default" w:ascii="Times New Roman" w:hAnsi="Times New Roman" w:eastAsia="华文仿宋" w:cs="Times New Roman"/>
          <w:sz w:val="32"/>
          <w:szCs w:val="32"/>
        </w:rPr>
        <w:t>行政执法的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规范与效能。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2004年，国家制定实施《劳动保障监察条例》，2012年，我省制定实施</w:t>
      </w:r>
      <w:r>
        <w:rPr>
          <w:rFonts w:hint="default" w:ascii="Times New Roman" w:hAnsi="Times New Roman" w:eastAsia="华文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auto"/>
        </w:rPr>
        <w:t>《广东省劳动保障监察条例》</w:t>
      </w:r>
      <w:r>
        <w:rPr>
          <w:rFonts w:hint="default" w:ascii="Times New Roman" w:hAnsi="Times New Roman" w:eastAsia="华文仿宋" w:cs="Times New Roman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。但是，均未对劳动保障监察文书送达配套系统、明确的工作指南，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一定程度上影响了劳动保障监察工作开展。</w:t>
      </w:r>
      <w:r>
        <w:rPr>
          <w:rFonts w:hint="default" w:ascii="Times New Roman" w:hAnsi="Times New Roman" w:eastAsia="华文仿宋" w:cs="Times New Roman"/>
          <w:sz w:val="32"/>
          <w:szCs w:val="32"/>
        </w:rPr>
        <w:t>因此，有必要制定统一的劳动保障监察文书送达规范，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华文仿宋" w:cs="Times New Roman"/>
          <w:sz w:val="32"/>
          <w:szCs w:val="32"/>
        </w:rPr>
        <w:t>明确送达方式、程序和要求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，确保劳动保障监察工作的合法性和有效性，提升劳动保障监察工作的规范化和专业化水平。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本指南共分为六部分，主要内容包括：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华文仿宋" w:cs="Times New Roman"/>
          <w:sz w:val="32"/>
          <w:szCs w:val="32"/>
        </w:rPr>
        <w:t>明确</w:t>
      </w:r>
      <w:r>
        <w:rPr>
          <w:rFonts w:hint="default" w:ascii="Times New Roman" w:hAnsi="Times New Roman" w:eastAsia="华文仿宋" w:cs="Times New Roman"/>
          <w:sz w:val="32"/>
          <w:szCs w:val="32"/>
        </w:rPr>
        <w:t>直接送达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劳动保障监察文书</w:t>
      </w:r>
      <w:r>
        <w:rPr>
          <w:rFonts w:hint="default" w:ascii="Times New Roman" w:hAnsi="Times New Roman" w:eastAsia="华文仿宋" w:cs="Times New Roman"/>
          <w:sz w:val="32"/>
          <w:szCs w:val="32"/>
        </w:rPr>
        <w:t>签收人的范围，规定送达地点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华文仿宋" w:cs="Times New Roman"/>
          <w:sz w:val="32"/>
          <w:szCs w:val="32"/>
        </w:rPr>
        <w:t>方式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华文仿宋" w:cs="Times New Roman"/>
          <w:sz w:val="32"/>
          <w:szCs w:val="32"/>
        </w:rPr>
        <w:t>送达时间。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华文仿宋" w:cs="Times New Roman"/>
          <w:sz w:val="32"/>
          <w:szCs w:val="32"/>
        </w:rPr>
        <w:t>规定</w:t>
      </w:r>
      <w:r>
        <w:rPr>
          <w:rFonts w:hint="default" w:ascii="Times New Roman" w:hAnsi="Times New Roman" w:eastAsia="华文仿宋" w:cs="Times New Roman"/>
          <w:sz w:val="32"/>
          <w:szCs w:val="32"/>
        </w:rPr>
        <w:t>留置送达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劳动保障监察文书</w:t>
      </w:r>
      <w:r>
        <w:rPr>
          <w:rFonts w:hint="default" w:ascii="Times New Roman" w:hAnsi="Times New Roman" w:eastAsia="华文仿宋" w:cs="Times New Roman"/>
          <w:sz w:val="32"/>
          <w:szCs w:val="32"/>
        </w:rPr>
        <w:t>受送达人或其代收人拒绝签收时的处理方式，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华文仿宋" w:cs="Times New Roman"/>
          <w:sz w:val="32"/>
          <w:szCs w:val="32"/>
        </w:rPr>
        <w:t>不适用留置送达的情形。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明确</w:t>
      </w:r>
      <w:r>
        <w:rPr>
          <w:rFonts w:hint="default" w:ascii="Times New Roman" w:hAnsi="Times New Roman" w:eastAsia="华文仿宋" w:cs="Times New Roman"/>
          <w:sz w:val="32"/>
          <w:szCs w:val="32"/>
        </w:rPr>
        <w:t>电子送达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劳动保障监察文书</w:t>
      </w:r>
      <w:r>
        <w:rPr>
          <w:rFonts w:hint="default" w:ascii="Times New Roman" w:hAnsi="Times New Roman" w:eastAsia="华文仿宋" w:cs="Times New Roman"/>
          <w:sz w:val="32"/>
          <w:szCs w:val="32"/>
        </w:rPr>
        <w:t>的适用条件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华文仿宋" w:cs="Times New Roman"/>
          <w:sz w:val="32"/>
          <w:szCs w:val="32"/>
        </w:rPr>
        <w:t>送达日期的确定标准，规定受送达人要求纸质文书时的处理方式。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四是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明确</w:t>
      </w:r>
      <w:r>
        <w:rPr>
          <w:rFonts w:hint="default" w:ascii="Times New Roman" w:hAnsi="Times New Roman" w:eastAsia="华文仿宋" w:cs="Times New Roman"/>
          <w:sz w:val="32"/>
          <w:szCs w:val="32"/>
        </w:rPr>
        <w:t>邮寄送达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劳动保障监察文书</w:t>
      </w:r>
      <w:r>
        <w:rPr>
          <w:rFonts w:hint="default" w:ascii="Times New Roman" w:hAnsi="Times New Roman" w:eastAsia="华文仿宋" w:cs="Times New Roman"/>
          <w:sz w:val="32"/>
          <w:szCs w:val="32"/>
        </w:rPr>
        <w:t>的适用情形，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拒绝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签收后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的法律后果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华文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五是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明确</w:t>
      </w:r>
      <w:r>
        <w:rPr>
          <w:rFonts w:hint="default" w:ascii="Times New Roman" w:hAnsi="Times New Roman" w:eastAsia="华文仿宋" w:cs="Times New Roman"/>
          <w:sz w:val="32"/>
          <w:szCs w:val="32"/>
        </w:rPr>
        <w:t>公告送达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劳动保障监察文书</w:t>
      </w:r>
      <w:r>
        <w:rPr>
          <w:rFonts w:hint="default" w:ascii="Times New Roman" w:hAnsi="Times New Roman" w:eastAsia="华文仿宋" w:cs="Times New Roman"/>
          <w:sz w:val="32"/>
          <w:szCs w:val="32"/>
        </w:rPr>
        <w:t>的适用情形，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华文仿宋" w:cs="Times New Roman"/>
          <w:sz w:val="32"/>
          <w:szCs w:val="32"/>
        </w:rPr>
        <w:t>公告送达的方式和公告日期的确定标准。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六是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明确</w:t>
      </w:r>
      <w:r>
        <w:rPr>
          <w:rFonts w:hint="default" w:ascii="Times New Roman" w:hAnsi="Times New Roman" w:eastAsia="华文仿宋" w:cs="Times New Roman"/>
          <w:sz w:val="32"/>
          <w:szCs w:val="32"/>
        </w:rPr>
        <w:t>行政处罚决定书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等其他情形</w:t>
      </w:r>
      <w:r>
        <w:rPr>
          <w:rFonts w:hint="default" w:ascii="Times New Roman" w:hAnsi="Times New Roman" w:eastAsia="华文仿宋" w:cs="Times New Roman"/>
          <w:sz w:val="32"/>
          <w:szCs w:val="32"/>
        </w:rPr>
        <w:t>的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劳动保障监察文书</w:t>
      </w:r>
      <w:r>
        <w:rPr>
          <w:rFonts w:hint="default" w:ascii="Times New Roman" w:hAnsi="Times New Roman" w:eastAsia="华文仿宋" w:cs="Times New Roman"/>
          <w:sz w:val="32"/>
          <w:szCs w:val="32"/>
        </w:rPr>
        <w:t>送达方式。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63D42"/>
    <w:rsid w:val="09213BED"/>
    <w:rsid w:val="1FA52C67"/>
    <w:rsid w:val="27FC7612"/>
    <w:rsid w:val="3AA03986"/>
    <w:rsid w:val="41863D42"/>
    <w:rsid w:val="53377C2A"/>
    <w:rsid w:val="5638641F"/>
    <w:rsid w:val="71BF27D3"/>
    <w:rsid w:val="7EC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2025-03-14T04:48:00Z</dcterms:created>
  <dc:creator>高原</dc:creator>
  <cp:lastModifiedBy>胡媛媛</cp:lastModifiedBy>
  <dcterms:modified xsi:type="dcterms:W3CDTF">2025-04-11T09:28:28Z</dcterms:modified>
  <dc:title>《广东省劳动保障监察文书送达工作指南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603F73E0468B46B3BF88BAF5E92476DC_11</vt:lpwstr>
  </property>
  <property fmtid="{D5CDD505-2E9C-101B-9397-08002B2CF9AE}" pid="4" name="KSOTemplateDocerSaveRecord">
    <vt:lpwstr>eyJoZGlkIjoiN2YzNjBkOTgyNWQ1YTMxYzM3MzMwNWFiODNmOWIzYWMiLCJ1c2VySWQiOiIyMzg1ODAwODgifQ==</vt:lpwstr>
  </property>
  <property fmtid="{D5CDD505-2E9C-101B-9397-08002B2CF9AE}" pid="5" name="showFlag">
    <vt:bool>false</vt:bool>
  </property>
  <property fmtid="{D5CDD505-2E9C-101B-9397-08002B2CF9AE}" pid="6" name="userName">
    <vt:lpwstr>周丽</vt:lpwstr>
  </property>
</Properties>
</file>