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overflowPunct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u w:val="none" w:color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zCs w:val="32"/>
          <w:u w:val="none" w:color="auto"/>
        </w:rPr>
        <w:t>附</w:t>
      </w:r>
      <w:r>
        <w:rPr>
          <w:rFonts w:hint="default" w:ascii="Times New Roman" w:hAnsi="Times New Roman" w:eastAsia="黑体" w:cs="Times New Roman"/>
          <w:b w:val="0"/>
          <w:bCs/>
          <w:szCs w:val="32"/>
          <w:u w:val="none" w:color="auto"/>
          <w:lang w:val="en-US"/>
        </w:rPr>
        <w:t>件</w:t>
      </w:r>
    </w:p>
    <w:p>
      <w:pPr>
        <w:pStyle w:val="8"/>
        <w:snapToGrid w:val="0"/>
        <w:spacing w:beforeLines="0" w:afterLines="0" w:line="580" w:lineRule="exact"/>
        <w:jc w:val="center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u w:val="none" w:color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u w:val="none" w:color="auto"/>
          <w:lang w:val="en-US" w:eastAsia="zh-CN" w:bidi="ar-SA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u w:val="none" w:color="auto"/>
          <w:lang w:val="en-US" w:eastAsia="zh-CN" w:bidi="ar-SA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u w:val="none" w:color="auto"/>
          <w:lang w:val="en-US" w:eastAsia="zh-CN" w:bidi="ar-SA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u w:val="none" w:color="auto"/>
          <w:lang w:val="en-US" w:eastAsia="zh-CN" w:bidi="ar-SA"/>
        </w:rPr>
        <w:t>广东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u w:val="none" w:color="auto"/>
          <w:lang w:val="en-US" w:eastAsia="zh-CN" w:bidi="ar-SA"/>
        </w:rPr>
        <w:t>省行业企业职业技能竞赛计划申报表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6"/>
          <w:szCs w:val="36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u w:val="none" w:color="auto"/>
          <w:lang w:val="en-US" w:eastAsia="zh-CN"/>
        </w:rPr>
        <w:t>申报单位：（盖章）</w:t>
      </w:r>
    </w:p>
    <w:tbl>
      <w:tblPr>
        <w:tblStyle w:val="4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096"/>
        <w:gridCol w:w="635"/>
        <w:gridCol w:w="1281"/>
        <w:gridCol w:w="996"/>
        <w:gridCol w:w="1438"/>
        <w:gridCol w:w="762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竞赛名称</w:t>
            </w:r>
          </w:p>
        </w:tc>
        <w:tc>
          <w:tcPr>
            <w:tcW w:w="4008" w:type="dxa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竞赛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类别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□一类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4008" w:type="dxa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gridSpan w:val="2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是否为职业技能等级认定社会培训评价组织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□是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4008" w:type="dxa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gridSpan w:val="2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□是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4008" w:type="dxa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gridSpan w:val="2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□是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100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竞赛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职业（工种）名称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职业编码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  <w:t>是否已颁布国家职业技能标准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  <w:t>国家职业技能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  <w:t>标准最高等级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100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□是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□否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□高级工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技师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□高级技师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46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  <w:t>竞赛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  <w:t>技术参照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  <w:t>等级</w:t>
            </w:r>
          </w:p>
        </w:tc>
        <w:tc>
          <w:tcPr>
            <w:tcW w:w="7402" w:type="dxa"/>
            <w:gridSpan w:val="6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□高级工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技师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6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  <w:t>初赛计划参加人数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  <w:t>决赛计划参加人数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6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竞赛时间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  <w:t>竞赛地点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46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经费预算（万元）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经费来源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6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联系人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（对社会公布）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  <w:t>工作单位及职务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6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 w:color="auto"/>
                <w:lang w:val="en-US" w:eastAsia="zh-CN"/>
              </w:rPr>
              <w:t>手机号码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（对社会公布）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微信号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377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优胜选手职业技能等级证书发证机构名称</w:t>
            </w:r>
          </w:p>
        </w:tc>
        <w:tc>
          <w:tcPr>
            <w:tcW w:w="4490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867" w:type="dxa"/>
            <w:gridSpan w:val="8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  <w:t>竞赛</w:t>
            </w:r>
            <w:r>
              <w:rPr>
                <w:rFonts w:hint="eastAsia" w:cs="Times New Roman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  <w:t>职业（工种）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9867" w:type="dxa"/>
            <w:gridSpan w:val="8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（内容：工种定义、在社会经济中的作用、发展趋势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、从业人员状况及竞赛举办经验等，可附页）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5"/>
        <w:tblpPr w:leftFromText="180" w:rightFromText="180" w:vertAnchor="text" w:tblpX="13829" w:tblpY="-5561"/>
        <w:tblOverlap w:val="never"/>
        <w:tblW w:w="2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u w:val="none" w:color="auto"/>
          <w:lang w:val="en-US" w:eastAsia="zh-CN"/>
        </w:rPr>
        <w:t>注：</w:t>
      </w:r>
      <w:r>
        <w:rPr>
          <w:rFonts w:hint="default" w:ascii="Times New Roman" w:hAnsi="Times New Roman" w:cs="Times New Roman"/>
          <w:sz w:val="24"/>
          <w:szCs w:val="24"/>
          <w:u w:val="none" w:color="auto"/>
          <w:lang w:val="en-US" w:eastAsia="zh-CN"/>
        </w:rPr>
        <w:t>1.“职业名称”“职业编码”是指在职业分类大典（申报时的最新版本）中所能查到的，与所填报竞赛项目相对应的职业名称和编码。</w:t>
      </w:r>
    </w:p>
    <w:p>
      <w:pPr>
        <w:tabs>
          <w:tab w:val="left" w:pos="7584"/>
        </w:tabs>
        <w:snapToGrid/>
        <w:spacing w:line="360" w:lineRule="exact"/>
        <w:jc w:val="both"/>
        <w:rPr>
          <w:rFonts w:hint="eastAsia" w:eastAsia="仿宋_GB2312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 w:color="auto"/>
          <w:lang w:val="en-US" w:eastAsia="zh-CN"/>
        </w:rPr>
        <w:t>2.国家职业技能标准可在“技能人才评价工作网”网站查询。</w:t>
      </w:r>
    </w:p>
    <w:sectPr>
      <w:footerReference r:id="rId4" w:type="first"/>
      <w:footerReference r:id="rId3" w:type="default"/>
      <w:pgSz w:w="11906" w:h="16838"/>
      <w:pgMar w:top="2097" w:right="1474" w:bottom="1984" w:left="1587" w:header="1304" w:footer="1417" w:gutter="0"/>
      <w:pgNumType w:start="1"/>
      <w:cols w:space="720" w:num="1"/>
      <w:titlePg/>
      <w:docGrid w:type="linesAndChars" w:linePitch="57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between w:val="none" w:color="auto" w:sz="0" w:space="0"/>
      </w:pBdr>
      <w:rPr>
        <w:sz w:val="28"/>
      </w:rPr>
    </w:pPr>
    <w:r>
      <w:rPr>
        <w:rStyle w:val="7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7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7"/>
        <w:sz w:val="28"/>
      </w:rPr>
      <w:t>1</w:t>
    </w:r>
    <w:r>
      <w:rPr>
        <w:sz w:val="28"/>
      </w:rPr>
      <w:fldChar w:fldCharType="end"/>
    </w:r>
    <w:r>
      <w:rPr>
        <w:rStyle w:val="7"/>
        <w:rFonts w:hint="eastAsia"/>
        <w:sz w:val="28"/>
      </w:rPr>
      <w:t xml:space="preserve"> —</w:t>
    </w:r>
  </w:p>
  <w:p>
    <w:pPr>
      <w:pStyle w:val="2"/>
      <w:ind w:right="36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etween w:val="none" w:color="auto" w:sz="0" w:space="0"/>
      </w:pBdr>
      <w:jc w:val="right"/>
    </w:pPr>
    <w:r>
      <w:rPr>
        <w:rStyle w:val="7"/>
        <w:rFonts w:hint="eastAsia"/>
        <w:sz w:val="28"/>
      </w:rPr>
      <w:t xml:space="preserve">— </w:t>
    </w:r>
    <w:r>
      <w:rPr>
        <w:rFonts w:hint="eastAsia"/>
        <w:sz w:val="28"/>
        <w:lang w:val="en-US" w:eastAsia="zh-CN"/>
      </w:rPr>
      <w:t>5</w:t>
    </w:r>
    <w:r>
      <w:rPr>
        <w:rStyle w:val="7"/>
        <w:rFonts w:hint="eastAsia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C78C1"/>
    <w:rsid w:val="09B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正文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9">
    <w:name w:val="正文缩进 New"/>
    <w:basedOn w:val="8"/>
    <w:qFormat/>
    <w:uiPriority w:val="0"/>
    <w:pPr>
      <w:ind w:firstLine="420" w:firstLineChars="200"/>
    </w:pPr>
    <w:rPr>
      <w:rFonts w:ascii="Times New Roman" w:hAnsi="Times New Roman" w:cs="Times New Roman"/>
      <w:color w:val="000000"/>
      <w:szCs w:val="21"/>
    </w:rPr>
  </w:style>
  <w:style w:type="paragraph" w:customStyle="1" w:styleId="10">
    <w:name w:val="默认段落字体 Para Char Char Char Char Char Char Char Char Char Char"/>
    <w:basedOn w:val="11"/>
    <w:qFormat/>
    <w:uiPriority w:val="0"/>
  </w:style>
  <w:style w:type="paragraph" w:customStyle="1" w:styleId="11">
    <w:name w:val="正文 New New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2024-12-17T08:37:00Z</dcterms:created>
  <dc:creator>魏希文</dc:creator>
  <cp:lastModifiedBy>魏希文</cp:lastModifiedBy>
  <dcterms:modified xsi:type="dcterms:W3CDTF">2024-12-17T08:38:14Z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7B02FB3686BB413AB1A0823AAFC2D487</vt:lpwstr>
  </property>
</Properties>
</file>