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spacing w:line="6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特级技师、首席技师评聘工作</w:t>
      </w:r>
    </w:p>
    <w:p>
      <w:pPr>
        <w:spacing w:line="600" w:lineRule="atLeast"/>
        <w:ind w:firstLine="0" w:firstLineChar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时间进度安排表</w:t>
      </w:r>
    </w:p>
    <w:tbl>
      <w:tblPr>
        <w:tblStyle w:val="3"/>
        <w:tblpPr w:leftFromText="180" w:rightFromText="180" w:vertAnchor="text" w:horzAnchor="page" w:tblpX="1660" w:tblpY="264"/>
        <w:tblOverlap w:val="never"/>
        <w:tblW w:w="908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017"/>
        <w:gridCol w:w="3331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sz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lang w:val="en-US" w:eastAsia="zh-CN"/>
              </w:rPr>
              <w:t>第一期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序号</w:t>
            </w:r>
          </w:p>
        </w:tc>
        <w:tc>
          <w:tcPr>
            <w:tcW w:w="301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时间段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工作安排</w:t>
            </w:r>
          </w:p>
        </w:tc>
        <w:tc>
          <w:tcPr>
            <w:tcW w:w="186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8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年4月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企业申请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职业技能等级认定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特级技师、首席技师级别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备案资质。</w:t>
            </w:r>
          </w:p>
        </w:tc>
        <w:tc>
          <w:tcPr>
            <w:tcW w:w="186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已有对应备案资质的企业无需重复申报。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2024年4月30日前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地级市职业技能评价指导机构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评估企业备案资质，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确定计划开展的企业，并向省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技能中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心报送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需上国网的备案企业数据。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国网指“技能人才评价工作网”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企业编制工作方案并向全体员工公开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企业在监管系统上报评价计划并开始评审工作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企业上报推荐入选名单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市职业技能评价指导机构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审核企业评价结果，向省技能中心报送审核通过的特级技师名单、首席技师推荐名单。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2024年7月10日前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全省范围内公示首席技师入选名单。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7月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特级技师、首席技师证书数据上报国网。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0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sz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lang w:val="en-US" w:eastAsia="zh-CN"/>
              </w:rPr>
              <w:t>第二期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序号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时间段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工作安排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8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企业申请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职业技能等级认定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特级技师、首席技师级别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备案资质。</w:t>
            </w:r>
          </w:p>
        </w:tc>
        <w:tc>
          <w:tcPr>
            <w:tcW w:w="186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已有对应备案资质的企业无需重复申报。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2024年7月30日前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地级市职业技能评价指导机构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评估企业备案资质，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确定计划开展的企业，并向省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技能中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心报送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需上国网的备案企业数据。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国网指“技能人才评价工作网”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企业编制工作方案并向全体员工公开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企业在监管系统上报评价计划并开始评审工作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企业上报推荐入选名单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市职业技能评价指导机构审核企业评价结果，向省技能中心报送审核通过的特级技师名单、首席技师推荐名单。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日前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全省范围内公示首席技师入选名单。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11月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特级技师、首席技师证书数据上报国网。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70077"/>
    <w:rsid w:val="0F517575"/>
    <w:rsid w:val="106F32F6"/>
    <w:rsid w:val="1D070077"/>
    <w:rsid w:val="1ECC553D"/>
    <w:rsid w:val="22524C58"/>
    <w:rsid w:val="232D6441"/>
    <w:rsid w:val="26E02301"/>
    <w:rsid w:val="336A0817"/>
    <w:rsid w:val="3643334F"/>
    <w:rsid w:val="39810E2A"/>
    <w:rsid w:val="3A485919"/>
    <w:rsid w:val="3F6520BA"/>
    <w:rsid w:val="69E52CAF"/>
    <w:rsid w:val="73D54461"/>
    <w:rsid w:val="7A2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2024-03-21T02:37:00Z</dcterms:created>
  <dc:creator>伍星红</dc:creator>
  <cp:lastModifiedBy>伍绍宏</cp:lastModifiedBy>
  <dcterms:modified xsi:type="dcterms:W3CDTF">2024-04-08T06:45:16Z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7F35F09D536947EA8AA90C82538589AA</vt:lpwstr>
  </property>
  <property fmtid="{D5CDD505-2E9C-101B-9397-08002B2CF9AE}" pid="4" name="close">
    <vt:lpwstr>true</vt:lpwstr>
  </property>
  <property fmtid="{D5CDD505-2E9C-101B-9397-08002B2CF9AE}" pid="5" name="showFlag">
    <vt:bool>false</vt:bool>
  </property>
  <property fmtid="{D5CDD505-2E9C-101B-9397-08002B2CF9AE}" pid="6" name="userName">
    <vt:lpwstr>伍星红</vt:lpwstr>
  </property>
</Properties>
</file>