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napToGrid/>
          <w:color w:val="auto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36"/>
          <w:szCs w:val="36"/>
          <w:highlight w:val="none"/>
          <w:u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snapToGrid/>
          <w:color w:val="auto"/>
          <w:spacing w:val="0"/>
          <w:w w:val="100"/>
          <w:sz w:val="40"/>
          <w:szCs w:val="44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36"/>
          <w:szCs w:val="36"/>
          <w:highlight w:val="none"/>
          <w:u w:val="none"/>
          <w:lang w:val="zh-CN" w:eastAsia="zh-CN"/>
        </w:rPr>
        <w:t>广东省社会培训评价组织</w:t>
      </w:r>
      <w:r>
        <w:rPr>
          <w:rFonts w:hint="eastAsia" w:ascii="Times New Roman" w:hAnsi="方正小标宋简体" w:eastAsia="方正小标宋简体" w:cs="方正小标宋简体"/>
          <w:b w:val="0"/>
          <w:bCs/>
          <w:i w:val="0"/>
          <w:snapToGrid/>
          <w:color w:val="auto"/>
          <w:spacing w:val="0"/>
          <w:w w:val="100"/>
          <w:sz w:val="36"/>
          <w:szCs w:val="36"/>
          <w:u w:val="none"/>
          <w:lang w:val="en-US" w:eastAsia="zh-CN"/>
        </w:rPr>
        <w:t>培育辅导期试题开发要求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left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试题开发要求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职业技能等级认定题库是依据国家职业技能标准（含经备案的国家职业技能标准产业适应性版）、地方职业技能标准或行业企业评价规范，遵循国家命题技术规程，所编制的用于评价技能人员能力水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平所使用的考试、考核试题和试卷资源的集合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。培育机构开发试题为自主开发方式，应保证开发试题的知识产权归本机构独立所有。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left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试题题量要求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培育机构在培育辅导期内组织开发申请备案职业的试题资源，每职业（工种）每级别达到3套（含）以上的，方可申报审核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left"/>
        <w:textAlignment w:val="auto"/>
        <w:outlineLvl w:val="0"/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三、试题资料提交要求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按照《广东省社会培训评价组织职业技能等级认定题库管理办法（试行）》要求，培育机构开发完成全部申请备案职业和级别的试题后，统一</w:t>
      </w:r>
      <w:r>
        <w:rPr>
          <w:rFonts w:hint="eastAsia" w:hAnsi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通过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“试题审核备案”业务模块（见广东省职业技能服务指导中心网站“职业开发”栏目）</w:t>
      </w:r>
      <w:r>
        <w:rPr>
          <w:rFonts w:hint="eastAsia" w:hAnsi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录入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进行审核。需提交以下资料：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题库编制说明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《理论知识考核要素细目表》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《技能考核要素细目表》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或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《技能考核内容结构表》；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（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理论知识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试题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（含试题、标准答案）、技能考核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试题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（含考场准备通知单、考生准备通知单、试题、评分标准）和综合评审试题（含考核说明、试题、评分标准、评分表等）。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（四）题库开发组成员名单，包括姓名、</w:t>
      </w:r>
      <w:r>
        <w:rPr>
          <w:rFonts w:hint="eastAsia" w:hAnsi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身份证号、工作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单位、职称、职务、联系电话</w:t>
      </w:r>
      <w:r>
        <w:rPr>
          <w:rFonts w:hint="eastAsia" w:hAnsi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（五）题库内部审核意见（专家签名扫描件）。各培育机构组织题库内部审核，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审核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小组成员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应包括熟悉题库建设的方法专家、内容专家、实际工作专家等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不少于5人。</w:t>
      </w:r>
      <w:r>
        <w:rPr>
          <w:rFonts w:hint="eastAsia" w:ascii="Times New Roman" w:hAnsi="仿宋_GB2312" w:eastAsia="仿宋_GB2312" w:cs="仿宋_GB2312"/>
          <w:b w:val="0"/>
          <w:i w:val="0"/>
          <w:caps w:val="0"/>
          <w:snapToGrid/>
          <w:color w:val="auto"/>
          <w:spacing w:val="0"/>
          <w:w w:val="100"/>
          <w:sz w:val="32"/>
          <w:szCs w:val="32"/>
          <w:u w:val="none"/>
          <w:shd w:val="clear" w:color="070000" w:fill="FFFFFF"/>
          <w:lang w:val="en-US" w:eastAsia="zh-CN"/>
        </w:rPr>
        <w:t>内部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eastAsia="zh-CN"/>
        </w:rPr>
        <w:t>审核</w:t>
      </w:r>
      <w:r>
        <w:rPr>
          <w:rFonts w:hint="eastAsia" w:ascii="Times New Roman" w:hAnsi="仿宋_GB2312" w:eastAsia="仿宋_GB2312" w:cs="仿宋_GB2312"/>
          <w:b w:val="0"/>
          <w:i w:val="0"/>
          <w:caps w:val="0"/>
          <w:snapToGrid/>
          <w:color w:val="auto"/>
          <w:spacing w:val="0"/>
          <w:w w:val="100"/>
          <w:sz w:val="32"/>
          <w:szCs w:val="32"/>
          <w:u w:val="none"/>
          <w:shd w:val="clear" w:color="070000" w:fill="FFFFFF"/>
        </w:rPr>
        <w:t>专家不得为该题库开</w:t>
      </w:r>
      <w:r>
        <w:rPr>
          <w:rFonts w:hint="eastAsia" w:ascii="Times New Roman" w:hAnsi="仿宋_GB2312" w:eastAsia="仿宋_GB2312" w:cs="仿宋_GB2312"/>
          <w:b w:val="0"/>
          <w:i w:val="0"/>
          <w:caps w:val="0"/>
          <w:snapToGrid/>
          <w:color w:val="auto"/>
          <w:spacing w:val="0"/>
          <w:w w:val="100"/>
          <w:sz w:val="32"/>
          <w:szCs w:val="32"/>
          <w:u w:val="none"/>
          <w:shd w:val="clear" w:color="070000" w:fill="FFFFFF"/>
          <w:lang w:eastAsia="zh-CN"/>
        </w:rPr>
        <w:t>发组成</w:t>
      </w:r>
      <w:r>
        <w:rPr>
          <w:rFonts w:hint="eastAsia" w:ascii="Times New Roman" w:hAnsi="仿宋_GB2312" w:eastAsia="仿宋_GB2312" w:cs="仿宋_GB2312"/>
          <w:b w:val="0"/>
          <w:i w:val="0"/>
          <w:caps w:val="0"/>
          <w:snapToGrid/>
          <w:color w:val="auto"/>
          <w:spacing w:val="0"/>
          <w:w w:val="100"/>
          <w:sz w:val="32"/>
          <w:szCs w:val="32"/>
          <w:u w:val="none"/>
          <w:shd w:val="clear" w:color="070000" w:fill="FFFFFF"/>
        </w:rPr>
        <w:t>员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四、试题资源审核要求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（一）省职业技能服务指导中心负责省属培育机构题库资源审核备案工作，广州和深圳市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zh-CN"/>
        </w:rPr>
        <w:t>职业技能评价指导机构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负责本地培育机构题库资源审核备案工作。其他地市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zh-CN"/>
        </w:rPr>
        <w:t>职业技能评价指导机构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负责本地培育机构初、中、高级题库资源审核备案工作，技师以上级别经地市初审后报省职业技能服务指导中心复审。各市每月月末将审核结果报省职业技能服务指导中心。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" w:leftChars="0" w:right="0" w:rightChars="0" w:firstLine="620" w:firstLineChars="196"/>
        <w:jc w:val="left"/>
        <w:textAlignment w:val="auto"/>
        <w:outlineLvl w:val="9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  <w:t>（二）培育辅导期内，培育机构试题审核不超过2次。培育辅导期结束后，按试题通过审核的职业（工种）和级别进行社会培训评价组织评估范围备案。</w:t>
      </w:r>
    </w:p>
    <w:p>
      <w:pPr>
        <w:rPr>
          <w:rFonts w:hint="defaul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1304" w:footer="1417" w:gutter="0"/>
      <w:pgNumType w:fmt="decimal" w:start="21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default" w:ascii="宋体" w:hAnsi="宋体" w:eastAsia="宋体" w:cs="宋体"/>
        <w:sz w:val="28"/>
        <w:lang w:val="en-GB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0" w:rightChars="0" w:firstLine="0" w:firstLineChars="0"/>
                            <w:jc w:val="center"/>
                            <w:outlineLvl w:val="9"/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0" w:rightChars="0" w:firstLine="0" w:firstLineChars="0"/>
                      <w:jc w:val="center"/>
                      <w:outlineLvl w:val="9"/>
                    </w:pP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instrText xml:space="preserve"> PAGE Page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CD4C7"/>
    <w:multiLevelType w:val="singleLevel"/>
    <w:tmpl w:val="80FCD4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2">
    <w:nsid w:val="7D414C81"/>
    <w:multiLevelType w:val="singleLevel"/>
    <w:tmpl w:val="7D414C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A39"/>
    <w:rsid w:val="01783E48"/>
    <w:rsid w:val="020A1250"/>
    <w:rsid w:val="06F67C39"/>
    <w:rsid w:val="110F5319"/>
    <w:rsid w:val="16C67968"/>
    <w:rsid w:val="18D451A2"/>
    <w:rsid w:val="2A1C080A"/>
    <w:rsid w:val="2CB04829"/>
    <w:rsid w:val="397C143D"/>
    <w:rsid w:val="516448BF"/>
    <w:rsid w:val="5543662A"/>
    <w:rsid w:val="5616339D"/>
    <w:rsid w:val="577A21A6"/>
    <w:rsid w:val="581B7A39"/>
    <w:rsid w:val="5F7844EF"/>
    <w:rsid w:val="62F71F11"/>
    <w:rsid w:val="65D42DAC"/>
    <w:rsid w:val="678F4FD6"/>
    <w:rsid w:val="7306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默认段落字体 Para Char Char Char Char Char Char Char Char Char Char"/>
    <w:basedOn w:val="10"/>
    <w:link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1">
    <w:name w:val="page number"/>
    <w:basedOn w:val="8"/>
    <w:qFormat/>
    <w:uiPriority w:val="0"/>
  </w:style>
  <w:style w:type="paragraph" w:customStyle="1" w:styleId="12">
    <w:name w:val="正文文本缩进 New"/>
    <w:basedOn w:val="13"/>
    <w:qFormat/>
    <w:uiPriority w:val="0"/>
    <w:pPr>
      <w:ind w:firstLine="636" w:firstLineChars="200"/>
    </w:pPr>
    <w:rPr>
      <w:szCs w:val="20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2023-04-28T03:23:00Z</dcterms:created>
  <dc:creator>赖雪霞</dc:creator>
  <cp:lastModifiedBy>伍绍宏</cp:lastModifiedBy>
  <dcterms:modified xsi:type="dcterms:W3CDTF">2023-10-23T07:50:22Z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9F3E747CCFE44E388453609D3C328A1D</vt:lpwstr>
  </property>
  <property fmtid="{D5CDD505-2E9C-101B-9397-08002B2CF9AE}" pid="4" name="showFlag">
    <vt:bool>false</vt:bool>
  </property>
  <property fmtid="{D5CDD505-2E9C-101B-9397-08002B2CF9AE}" pid="5" name="userName">
    <vt:lpwstr>梁翠</vt:lpwstr>
  </property>
</Properties>
</file>