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eastAsia="黑体"/>
          <w:b/>
          <w:bCs/>
          <w:sz w:val="44"/>
          <w:szCs w:val="44"/>
        </w:rPr>
      </w:pPr>
    </w:p>
    <w:p>
      <w:pPr>
        <w:adjustRightInd w:val="0"/>
        <w:snapToGrid w:val="0"/>
        <w:spacing w:line="560" w:lineRule="exact"/>
        <w:jc w:val="center"/>
        <w:rPr>
          <w:rFonts w:hint="eastAsia" w:ascii="黑体" w:hAnsi="黑体" w:eastAsia="黑体"/>
          <w:b/>
          <w:bCs/>
          <w:sz w:val="36"/>
          <w:szCs w:val="36"/>
        </w:rPr>
      </w:pPr>
      <w:r>
        <w:rPr>
          <w:rFonts w:hint="eastAsia" w:ascii="黑体" w:hAnsi="黑体" w:eastAsia="黑体"/>
          <w:b/>
          <w:bCs/>
          <w:sz w:val="36"/>
          <w:szCs w:val="36"/>
        </w:rPr>
        <w:t>关于进一步扩大学制技师培养试点的通知</w:t>
      </w:r>
    </w:p>
    <w:p>
      <w:pPr>
        <w:adjustRightInd w:val="0"/>
        <w:snapToGrid w:val="0"/>
        <w:spacing w:line="560" w:lineRule="exact"/>
        <w:jc w:val="center"/>
        <w:rPr>
          <w:rFonts w:hint="eastAsia" w:ascii="黑体" w:hAnsi="黑体" w:eastAsia="黑体"/>
          <w:b/>
          <w:bCs/>
          <w:sz w:val="36"/>
          <w:szCs w:val="36"/>
          <w:lang w:eastAsia="zh-CN"/>
        </w:rPr>
      </w:pPr>
      <w:bookmarkStart w:id="0" w:name="_GoBack"/>
      <w:bookmarkEnd w:id="0"/>
      <w:r>
        <w:rPr>
          <w:rFonts w:hint="eastAsia" w:ascii="黑体" w:hAnsi="黑体" w:eastAsia="黑体"/>
          <w:b/>
          <w:bCs/>
          <w:sz w:val="36"/>
          <w:szCs w:val="36"/>
          <w:lang w:eastAsia="zh-CN"/>
        </w:rPr>
        <w:t>（公开征求意见稿）</w:t>
      </w:r>
    </w:p>
    <w:p>
      <w:pPr>
        <w:adjustRightInd w:val="0"/>
        <w:snapToGrid w:val="0"/>
        <w:spacing w:line="560" w:lineRule="exact"/>
        <w:jc w:val="center"/>
        <w:rPr>
          <w:rFonts w:ascii="Arial" w:hAnsi="Arial" w:cs="Arial"/>
          <w:sz w:val="32"/>
          <w:szCs w:val="32"/>
          <w:shd w:val="clear" w:color="auto" w:fill="FFFFFF"/>
        </w:rPr>
      </w:pPr>
      <w:r>
        <w:rPr>
          <w:rFonts w:ascii="Arial" w:hAnsi="Arial" w:cs="Arial"/>
          <w:sz w:val="32"/>
          <w:szCs w:val="32"/>
          <w:shd w:val="clear" w:color="auto" w:fill="FFFFFF"/>
        </w:rPr>
        <w:t xml:space="preserve"> </w:t>
      </w:r>
    </w:p>
    <w:p>
      <w:pPr>
        <w:adjustRightInd w:val="0"/>
        <w:snapToGrid w:val="0"/>
        <w:spacing w:line="560" w:lineRule="exact"/>
        <w:rPr>
          <w:rFonts w:ascii="仿宋" w:hAnsi="仿宋" w:eastAsia="仿宋"/>
          <w:color w:val="auto"/>
          <w:sz w:val="32"/>
          <w:szCs w:val="32"/>
        </w:rPr>
      </w:pPr>
      <w:r>
        <w:rPr>
          <w:rFonts w:ascii="仿宋" w:hAnsi="仿宋" w:eastAsia="仿宋"/>
          <w:color w:val="auto"/>
          <w:sz w:val="32"/>
          <w:szCs w:val="32"/>
        </w:rPr>
        <w:t>各地级以上市人力资源和社会保障局，各技师学院：</w:t>
      </w:r>
    </w:p>
    <w:p>
      <w:pPr>
        <w:adjustRightInd w:val="0"/>
        <w:snapToGrid w:val="0"/>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为贯彻落实《人力资源社会保障部关于印发技工教育“十四五”规划的通知》（人社部发〔2021〕86号）和《广东省人民政府办公厅关于印发广东省推动技工教育高质量发展若干政策措施的通知》（粤府办〔2021〕54号）等文件精神，</w:t>
      </w:r>
      <w:r>
        <w:rPr>
          <w:rFonts w:hint="eastAsia" w:ascii="仿宋" w:hAnsi="仿宋" w:eastAsia="仿宋"/>
          <w:color w:val="auto"/>
          <w:sz w:val="32"/>
          <w:szCs w:val="32"/>
          <w:lang w:eastAsia="zh-CN"/>
        </w:rPr>
        <w:t>更好地完成</w:t>
      </w:r>
      <w:r>
        <w:rPr>
          <w:rFonts w:ascii="仿宋" w:hAnsi="仿宋" w:eastAsia="仿宋"/>
          <w:color w:val="auto"/>
          <w:sz w:val="32"/>
          <w:szCs w:val="32"/>
        </w:rPr>
        <w:t>《人力资源社会保障部 广东省人民政府深化人力资源社会保障合作 推进粤港澳大湾区建设战略合作协议》关于</w:t>
      </w:r>
      <w:r>
        <w:rPr>
          <w:rFonts w:hint="eastAsia" w:ascii="仿宋" w:hAnsi="仿宋" w:eastAsia="仿宋"/>
          <w:color w:val="auto"/>
          <w:sz w:val="32"/>
          <w:szCs w:val="32"/>
          <w:lang w:eastAsia="zh-CN"/>
        </w:rPr>
        <w:t>开展</w:t>
      </w:r>
      <w:r>
        <w:rPr>
          <w:rFonts w:ascii="仿宋" w:hAnsi="仿宋" w:eastAsia="仿宋"/>
          <w:color w:val="auto"/>
          <w:sz w:val="32"/>
          <w:szCs w:val="32"/>
        </w:rPr>
        <w:t>学制技师培养试点工作</w:t>
      </w:r>
      <w:r>
        <w:rPr>
          <w:rFonts w:hint="eastAsia" w:ascii="仿宋" w:hAnsi="仿宋" w:eastAsia="仿宋"/>
          <w:color w:val="auto"/>
          <w:sz w:val="32"/>
          <w:szCs w:val="32"/>
          <w:lang w:eastAsia="zh-CN"/>
        </w:rPr>
        <w:t>任务</w:t>
      </w:r>
      <w:r>
        <w:rPr>
          <w:rFonts w:ascii="仿宋" w:hAnsi="仿宋" w:eastAsia="仿宋"/>
          <w:color w:val="auto"/>
          <w:sz w:val="32"/>
          <w:szCs w:val="32"/>
        </w:rPr>
        <w:t>，</w:t>
      </w:r>
      <w:r>
        <w:rPr>
          <w:rFonts w:hint="eastAsia" w:ascii="仿宋" w:hAnsi="仿宋" w:eastAsia="仿宋"/>
          <w:color w:val="auto"/>
          <w:sz w:val="32"/>
          <w:szCs w:val="32"/>
          <w:lang w:eastAsia="zh-CN"/>
        </w:rPr>
        <w:t>经研究，决定</w:t>
      </w:r>
      <w:r>
        <w:rPr>
          <w:rFonts w:ascii="仿宋" w:hAnsi="仿宋" w:eastAsia="仿宋"/>
          <w:color w:val="auto"/>
          <w:sz w:val="32"/>
          <w:szCs w:val="32"/>
        </w:rPr>
        <w:t>进一步扩大学制技师培养试点范围，现将有关事项通知如下：</w:t>
      </w:r>
    </w:p>
    <w:p>
      <w:pPr>
        <w:numPr>
          <w:ilvl w:val="0"/>
          <w:numId w:val="1"/>
        </w:numPr>
        <w:adjustRightInd w:val="0"/>
        <w:snapToGrid w:val="0"/>
        <w:spacing w:line="560" w:lineRule="exact"/>
        <w:ind w:firstLine="640" w:firstLineChars="200"/>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进一步认识扩大学制技师培养试点的重大意义</w:t>
      </w:r>
    </w:p>
    <w:p>
      <w:pPr>
        <w:adjustRightInd w:val="0"/>
        <w:snapToGrid w:val="0"/>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技能人才特别是高技能人才是我国人才队伍的重要组成部分，是支撑中国制造和中国创造的重要力量。2018年起，我省在珠海市技师学院、东莞市技师学院、广东省机械技师学院和深圳技师学院4所高水平技师学院开展了学制技师培养试点工作</w:t>
      </w:r>
      <w:r>
        <w:rPr>
          <w:rFonts w:hint="eastAsia" w:ascii="仿宋" w:hAnsi="仿宋" w:eastAsia="仿宋"/>
          <w:color w:val="auto"/>
          <w:sz w:val="32"/>
          <w:szCs w:val="32"/>
        </w:rPr>
        <w:t>，相关院校在</w:t>
      </w:r>
      <w:r>
        <w:rPr>
          <w:rFonts w:ascii="仿宋" w:hAnsi="仿宋" w:eastAsia="仿宋"/>
          <w:color w:val="auto"/>
          <w:sz w:val="32"/>
          <w:szCs w:val="32"/>
        </w:rPr>
        <w:t>“对标国际、产教融合、高端引领、质量办学、规范发展”思路引领下，摸索出专业对接产业、课程对接岗位、班级联系企业、以国际技能证书为抓手的工学结合高技能人才培养模式，积</w:t>
      </w:r>
      <w:r>
        <w:rPr>
          <w:rFonts w:hint="eastAsia" w:ascii="仿宋" w:hAnsi="仿宋" w:eastAsia="仿宋"/>
          <w:color w:val="auto"/>
          <w:sz w:val="32"/>
          <w:szCs w:val="32"/>
          <w:lang w:eastAsia="zh-CN"/>
        </w:rPr>
        <w:t>累</w:t>
      </w:r>
      <w:r>
        <w:rPr>
          <w:rFonts w:ascii="仿宋" w:hAnsi="仿宋" w:eastAsia="仿宋"/>
          <w:color w:val="auto"/>
          <w:sz w:val="32"/>
          <w:szCs w:val="32"/>
        </w:rPr>
        <w:t>了学制技师培养经验。为适应高端技能人才市场需求和提高技师学院核心竞争力，对接行业企业“高”“精”“尖”“缺”岗位，服务我省战略性支柱产业和战略性新兴产业发展，培育高技能人才队伍，</w:t>
      </w:r>
      <w:r>
        <w:rPr>
          <w:rFonts w:hint="eastAsia" w:ascii="仿宋" w:hAnsi="仿宋" w:eastAsia="仿宋"/>
          <w:color w:val="auto"/>
          <w:sz w:val="32"/>
          <w:szCs w:val="32"/>
          <w:lang w:eastAsia="zh-CN"/>
        </w:rPr>
        <w:t>拟</w:t>
      </w:r>
      <w:r>
        <w:rPr>
          <w:rFonts w:ascii="仿宋" w:hAnsi="仿宋" w:eastAsia="仿宋"/>
          <w:color w:val="auto"/>
          <w:sz w:val="32"/>
          <w:szCs w:val="32"/>
        </w:rPr>
        <w:t>在原试点基础上，进一步扩大学制技师试点范围，培养一批掌握精湛技艺和综合能力强的产业技术后备人才，这对于加快培育我省技师学院发展新优势，</w:t>
      </w:r>
      <w:r>
        <w:rPr>
          <w:rFonts w:hint="eastAsia" w:ascii="仿宋" w:hAnsi="仿宋" w:eastAsia="仿宋"/>
          <w:color w:val="auto"/>
          <w:sz w:val="32"/>
          <w:szCs w:val="32"/>
          <w:lang w:eastAsia="zh-CN"/>
        </w:rPr>
        <w:t>推</w:t>
      </w:r>
      <w:r>
        <w:rPr>
          <w:rFonts w:ascii="仿宋" w:hAnsi="仿宋" w:eastAsia="仿宋"/>
          <w:color w:val="auto"/>
          <w:sz w:val="32"/>
          <w:szCs w:val="32"/>
        </w:rPr>
        <w:t>动</w:t>
      </w:r>
      <w:r>
        <w:rPr>
          <w:rFonts w:hint="eastAsia" w:ascii="仿宋" w:hAnsi="仿宋" w:eastAsia="仿宋"/>
          <w:color w:val="auto"/>
          <w:sz w:val="32"/>
          <w:szCs w:val="32"/>
          <w:lang w:eastAsia="zh-CN"/>
        </w:rPr>
        <w:t>广东</w:t>
      </w:r>
      <w:r>
        <w:rPr>
          <w:rFonts w:ascii="仿宋" w:hAnsi="仿宋" w:eastAsia="仿宋"/>
          <w:color w:val="auto"/>
          <w:sz w:val="32"/>
          <w:szCs w:val="32"/>
        </w:rPr>
        <w:t>省技工</w:t>
      </w:r>
      <w:r>
        <w:rPr>
          <w:rFonts w:hint="eastAsia" w:ascii="仿宋" w:hAnsi="仿宋" w:eastAsia="仿宋"/>
          <w:color w:val="auto"/>
          <w:sz w:val="32"/>
          <w:szCs w:val="32"/>
          <w:lang w:eastAsia="zh-CN"/>
        </w:rPr>
        <w:t>工程</w:t>
      </w:r>
      <w:r>
        <w:rPr>
          <w:rFonts w:ascii="仿宋" w:hAnsi="仿宋" w:eastAsia="仿宋"/>
          <w:color w:val="auto"/>
          <w:sz w:val="32"/>
          <w:szCs w:val="32"/>
        </w:rPr>
        <w:t>高质量发展，</w:t>
      </w:r>
      <w:r>
        <w:rPr>
          <w:rFonts w:hint="eastAsia" w:ascii="仿宋" w:hAnsi="仿宋" w:eastAsia="仿宋"/>
          <w:color w:val="auto"/>
          <w:sz w:val="32"/>
          <w:szCs w:val="32"/>
          <w:lang w:eastAsia="zh-CN"/>
        </w:rPr>
        <w:t>促进</w:t>
      </w:r>
      <w:r>
        <w:rPr>
          <w:rFonts w:ascii="仿宋" w:hAnsi="仿宋" w:eastAsia="仿宋"/>
          <w:color w:val="auto"/>
          <w:sz w:val="32"/>
          <w:szCs w:val="32"/>
        </w:rPr>
        <w:t>“广东技工”与“广东制造”共同成长，具有十分重要的意义。</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shd w:val="clear" w:color="auto" w:fill="FFFFFF"/>
        </w:rPr>
        <w:t>积极稳妥扩大学制技师试点范围</w:t>
      </w:r>
    </w:p>
    <w:p>
      <w:pPr>
        <w:adjustRightInd w:val="0"/>
        <w:snapToGrid w:val="0"/>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各地市、各试点院校要按照坚持“立德树人、产业导向、工学结合、</w:t>
      </w:r>
      <w:r>
        <w:rPr>
          <w:rFonts w:hint="eastAsia" w:ascii="仿宋" w:hAnsi="仿宋" w:eastAsia="仿宋"/>
          <w:color w:val="auto"/>
          <w:sz w:val="32"/>
          <w:szCs w:val="32"/>
          <w:lang w:eastAsia="zh-CN"/>
        </w:rPr>
        <w:t>高质发展</w:t>
      </w:r>
      <w:r>
        <w:rPr>
          <w:rFonts w:ascii="仿宋" w:hAnsi="仿宋" w:eastAsia="仿宋"/>
          <w:color w:val="auto"/>
          <w:sz w:val="32"/>
          <w:szCs w:val="32"/>
        </w:rPr>
        <w:t>”要求，积极、稳妥、有序地推进学制技师扩大试点工作。</w:t>
      </w:r>
    </w:p>
    <w:p>
      <w:pPr>
        <w:adjustRightInd w:val="0"/>
        <w:snapToGrid w:val="0"/>
        <w:spacing w:line="560" w:lineRule="exact"/>
        <w:ind w:firstLine="641" w:firstLineChars="200"/>
        <w:rPr>
          <w:rFonts w:ascii="仿宋" w:hAnsi="仿宋" w:eastAsia="仿宋"/>
          <w:color w:val="auto"/>
          <w:sz w:val="32"/>
          <w:szCs w:val="32"/>
        </w:rPr>
      </w:pPr>
      <w:r>
        <w:rPr>
          <w:rFonts w:hint="eastAsia" w:ascii="华文楷体" w:hAnsi="华文楷体" w:eastAsia="华文楷体"/>
          <w:b/>
          <w:bCs/>
          <w:color w:val="auto"/>
          <w:sz w:val="32"/>
          <w:szCs w:val="32"/>
        </w:rPr>
        <w:t>（一）积极放开试点院校范围</w:t>
      </w:r>
      <w:r>
        <w:rPr>
          <w:rFonts w:ascii="仿宋_GB2312" w:hAnsi="仿宋_GB2312"/>
          <w:color w:val="auto"/>
          <w:sz w:val="32"/>
          <w:szCs w:val="32"/>
        </w:rPr>
        <w:t>。</w:t>
      </w:r>
      <w:r>
        <w:rPr>
          <w:rFonts w:ascii="仿宋" w:hAnsi="仿宋" w:eastAsia="仿宋"/>
          <w:color w:val="auto"/>
          <w:sz w:val="32"/>
          <w:szCs w:val="32"/>
        </w:rPr>
        <w:t>学制技师试点院校范围扩大至全省所有技师学院，技师学院均可申报学制技师培养试点。</w:t>
      </w:r>
    </w:p>
    <w:p>
      <w:pPr>
        <w:adjustRightInd w:val="0"/>
        <w:snapToGrid w:val="0"/>
        <w:spacing w:line="560" w:lineRule="exact"/>
        <w:ind w:firstLine="641" w:firstLineChars="200"/>
        <w:rPr>
          <w:rFonts w:ascii="仿宋_GB2312"/>
          <w:color w:val="auto"/>
          <w:sz w:val="32"/>
          <w:szCs w:val="32"/>
        </w:rPr>
      </w:pPr>
      <w:r>
        <w:rPr>
          <w:rFonts w:hint="eastAsia" w:ascii="华文楷体" w:hAnsi="华文楷体" w:eastAsia="华文楷体"/>
          <w:b/>
          <w:bCs/>
          <w:color w:val="auto"/>
          <w:sz w:val="32"/>
          <w:szCs w:val="32"/>
        </w:rPr>
        <w:t>（二）稳妥扩</w:t>
      </w:r>
      <w:r>
        <w:rPr>
          <w:rFonts w:hint="eastAsia" w:ascii="华文楷体" w:hAnsi="华文楷体" w:eastAsia="华文楷体"/>
          <w:b/>
          <w:bCs/>
          <w:color w:val="auto"/>
          <w:sz w:val="32"/>
          <w:szCs w:val="32"/>
          <w:lang w:eastAsia="zh-CN"/>
        </w:rPr>
        <w:t>展</w:t>
      </w:r>
      <w:r>
        <w:rPr>
          <w:rFonts w:hint="eastAsia" w:ascii="华文楷体" w:hAnsi="华文楷体" w:eastAsia="华文楷体"/>
          <w:b/>
          <w:bCs/>
          <w:color w:val="auto"/>
          <w:sz w:val="32"/>
          <w:szCs w:val="32"/>
        </w:rPr>
        <w:t>试点专业领域</w:t>
      </w:r>
      <w:r>
        <w:rPr>
          <w:rFonts w:ascii="仿宋_GB2312" w:hAnsi="仿宋_GB2312"/>
          <w:color w:val="auto"/>
          <w:sz w:val="32"/>
          <w:szCs w:val="32"/>
        </w:rPr>
        <w:t>。</w:t>
      </w:r>
      <w:r>
        <w:rPr>
          <w:rFonts w:ascii="仿宋" w:hAnsi="仿宋" w:eastAsia="仿宋"/>
          <w:color w:val="auto"/>
          <w:sz w:val="32"/>
          <w:szCs w:val="32"/>
        </w:rPr>
        <w:t>试点专业采用目录清单制，先在高技能人才需求大、战略性产业支撑强的专业试行，结合实际逐步扩展试点专业目录清单。</w:t>
      </w:r>
      <w:r>
        <w:rPr>
          <w:rFonts w:hint="eastAsia" w:ascii="仿宋" w:hAnsi="仿宋" w:eastAsia="仿宋"/>
          <w:color w:val="auto"/>
          <w:sz w:val="32"/>
          <w:szCs w:val="32"/>
          <w:lang w:eastAsia="zh-CN"/>
        </w:rPr>
        <w:t>专业目录清单在每年申报通知中予以公布，</w:t>
      </w:r>
      <w:r>
        <w:rPr>
          <w:rFonts w:ascii="仿宋" w:hAnsi="仿宋" w:eastAsia="仿宋"/>
          <w:color w:val="auto"/>
          <w:sz w:val="32"/>
          <w:szCs w:val="32"/>
        </w:rPr>
        <w:t>各技师学院</w:t>
      </w:r>
      <w:r>
        <w:rPr>
          <w:rFonts w:hint="eastAsia" w:ascii="仿宋" w:hAnsi="仿宋" w:eastAsia="仿宋"/>
          <w:color w:val="auto"/>
          <w:sz w:val="32"/>
          <w:szCs w:val="32"/>
          <w:lang w:eastAsia="zh-CN"/>
        </w:rPr>
        <w:t>须</w:t>
      </w:r>
      <w:r>
        <w:rPr>
          <w:rFonts w:ascii="仿宋" w:hAnsi="仿宋" w:eastAsia="仿宋"/>
          <w:color w:val="auto"/>
          <w:sz w:val="32"/>
          <w:szCs w:val="32"/>
        </w:rPr>
        <w:t>按公布的试点专业进行申报，评审通过后开展试点工作。</w:t>
      </w:r>
    </w:p>
    <w:p>
      <w:pPr>
        <w:adjustRightInd w:val="0"/>
        <w:snapToGrid w:val="0"/>
        <w:spacing w:line="560" w:lineRule="exact"/>
        <w:ind w:firstLine="641" w:firstLineChars="200"/>
        <w:rPr>
          <w:rFonts w:hint="eastAsia" w:ascii="仿宋" w:hAnsi="仿宋" w:eastAsia="仿宋"/>
          <w:color w:val="auto"/>
          <w:sz w:val="32"/>
          <w:szCs w:val="32"/>
          <w:lang w:eastAsia="zh-CN"/>
        </w:rPr>
      </w:pPr>
      <w:r>
        <w:rPr>
          <w:rFonts w:hint="eastAsia" w:ascii="华文楷体" w:hAnsi="华文楷体" w:eastAsia="华文楷体"/>
          <w:b/>
          <w:bCs/>
          <w:color w:val="auto"/>
          <w:sz w:val="32"/>
          <w:szCs w:val="32"/>
        </w:rPr>
        <w:t>（三）规范学制技师学习年限</w:t>
      </w:r>
      <w:r>
        <w:rPr>
          <w:rFonts w:hint="eastAsia" w:ascii="楷体" w:hAnsi="楷体" w:eastAsia="楷体" w:cs="仿宋_GB2312"/>
          <w:b/>
          <w:bCs/>
          <w:color w:val="auto"/>
          <w:sz w:val="32"/>
          <w:szCs w:val="32"/>
        </w:rPr>
        <w:t>。</w:t>
      </w:r>
      <w:r>
        <w:rPr>
          <w:rFonts w:ascii="仿宋" w:hAnsi="仿宋" w:eastAsia="仿宋"/>
          <w:color w:val="auto"/>
          <w:sz w:val="32"/>
          <w:szCs w:val="32"/>
        </w:rPr>
        <w:t>各试点院校要严格规范学制技师学习年限。初中毕业生报读</w:t>
      </w:r>
      <w:r>
        <w:rPr>
          <w:rFonts w:hint="eastAsia" w:ascii="仿宋" w:hAnsi="仿宋" w:eastAsia="仿宋"/>
          <w:color w:val="auto"/>
          <w:sz w:val="32"/>
          <w:szCs w:val="32"/>
          <w:lang w:eastAsia="zh-CN"/>
        </w:rPr>
        <w:t>学制技师</w:t>
      </w:r>
      <w:r>
        <w:rPr>
          <w:rFonts w:ascii="仿宋" w:hAnsi="仿宋" w:eastAsia="仿宋"/>
          <w:color w:val="auto"/>
          <w:sz w:val="32"/>
          <w:szCs w:val="32"/>
        </w:rPr>
        <w:t>，学习期限不少于6年；高中</w:t>
      </w:r>
      <w:r>
        <w:rPr>
          <w:rFonts w:hint="eastAsia" w:ascii="仿宋" w:hAnsi="仿宋" w:eastAsia="仿宋"/>
          <w:color w:val="auto"/>
          <w:sz w:val="32"/>
          <w:szCs w:val="32"/>
          <w:lang w:eastAsia="zh-CN"/>
        </w:rPr>
        <w:t>、中技、中职</w:t>
      </w:r>
      <w:r>
        <w:rPr>
          <w:rFonts w:ascii="仿宋" w:hAnsi="仿宋" w:eastAsia="仿宋"/>
          <w:color w:val="auto"/>
          <w:sz w:val="32"/>
          <w:szCs w:val="32"/>
        </w:rPr>
        <w:t>毕业生报读</w:t>
      </w:r>
      <w:r>
        <w:rPr>
          <w:rFonts w:hint="eastAsia" w:ascii="仿宋" w:hAnsi="仿宋" w:eastAsia="仿宋"/>
          <w:color w:val="auto"/>
          <w:sz w:val="32"/>
          <w:szCs w:val="32"/>
          <w:lang w:eastAsia="zh-CN"/>
        </w:rPr>
        <w:t>学制技师</w:t>
      </w:r>
      <w:r>
        <w:rPr>
          <w:rFonts w:ascii="仿宋" w:hAnsi="仿宋" w:eastAsia="仿宋"/>
          <w:color w:val="auto"/>
          <w:sz w:val="32"/>
          <w:szCs w:val="32"/>
        </w:rPr>
        <w:t>，学习期限不少于4年；</w:t>
      </w:r>
      <w:r>
        <w:rPr>
          <w:rFonts w:hint="eastAsia" w:ascii="仿宋" w:hAnsi="仿宋" w:eastAsia="仿宋"/>
          <w:color w:val="auto"/>
          <w:sz w:val="32"/>
          <w:szCs w:val="32"/>
          <w:lang w:eastAsia="zh-CN"/>
        </w:rPr>
        <w:t>高技、高职、高专毕业生</w:t>
      </w:r>
      <w:r>
        <w:rPr>
          <w:rFonts w:ascii="仿宋" w:hAnsi="仿宋" w:eastAsia="仿宋"/>
          <w:color w:val="auto"/>
          <w:sz w:val="32"/>
          <w:szCs w:val="32"/>
        </w:rPr>
        <w:t>报读</w:t>
      </w:r>
      <w:r>
        <w:rPr>
          <w:rFonts w:hint="eastAsia" w:ascii="仿宋" w:hAnsi="仿宋" w:eastAsia="仿宋"/>
          <w:color w:val="auto"/>
          <w:sz w:val="32"/>
          <w:szCs w:val="32"/>
          <w:lang w:eastAsia="zh-CN"/>
        </w:rPr>
        <w:t>学制技师</w:t>
      </w:r>
      <w:r>
        <w:rPr>
          <w:rFonts w:ascii="仿宋" w:hAnsi="仿宋" w:eastAsia="仿宋"/>
          <w:color w:val="auto"/>
          <w:sz w:val="32"/>
          <w:szCs w:val="32"/>
        </w:rPr>
        <w:t>，学习期限不少于2年</w:t>
      </w:r>
      <w:r>
        <w:rPr>
          <w:rFonts w:hint="eastAsia" w:ascii="仿宋" w:hAnsi="仿宋" w:eastAsia="仿宋"/>
          <w:color w:val="auto"/>
          <w:sz w:val="32"/>
          <w:szCs w:val="32"/>
          <w:lang w:eastAsia="zh-CN"/>
        </w:rPr>
        <w:t>。</w:t>
      </w:r>
    </w:p>
    <w:p>
      <w:pPr>
        <w:adjustRightInd w:val="0"/>
        <w:snapToGrid w:val="0"/>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探索</w:t>
      </w:r>
      <w:r>
        <w:rPr>
          <w:rFonts w:ascii="仿宋" w:hAnsi="仿宋" w:eastAsia="仿宋"/>
          <w:color w:val="auto"/>
          <w:sz w:val="32"/>
          <w:szCs w:val="32"/>
        </w:rPr>
        <w:t>本科及以上学历毕业生</w:t>
      </w:r>
      <w:r>
        <w:rPr>
          <w:rFonts w:hint="eastAsia" w:ascii="仿宋" w:hAnsi="仿宋" w:eastAsia="仿宋"/>
          <w:color w:val="auto"/>
          <w:sz w:val="32"/>
          <w:szCs w:val="32"/>
          <w:lang w:eastAsia="zh-CN"/>
        </w:rPr>
        <w:t>或具有初级以上技术职称</w:t>
      </w:r>
      <w:r>
        <w:rPr>
          <w:rFonts w:ascii="仿宋" w:hAnsi="仿宋" w:eastAsia="仿宋"/>
          <w:color w:val="auto"/>
          <w:sz w:val="32"/>
          <w:szCs w:val="32"/>
        </w:rPr>
        <w:t>报读</w:t>
      </w:r>
      <w:r>
        <w:rPr>
          <w:rFonts w:hint="eastAsia" w:ascii="仿宋" w:hAnsi="仿宋" w:eastAsia="仿宋"/>
          <w:color w:val="auto"/>
          <w:sz w:val="32"/>
          <w:szCs w:val="32"/>
          <w:lang w:eastAsia="zh-CN"/>
        </w:rPr>
        <w:t>相关专业学制技师</w:t>
      </w:r>
      <w:r>
        <w:rPr>
          <w:rFonts w:ascii="仿宋" w:hAnsi="仿宋" w:eastAsia="仿宋"/>
          <w:color w:val="auto"/>
          <w:sz w:val="32"/>
          <w:szCs w:val="32"/>
        </w:rPr>
        <w:t>的</w:t>
      </w:r>
      <w:r>
        <w:rPr>
          <w:rFonts w:hint="eastAsia" w:ascii="仿宋" w:hAnsi="仿宋" w:eastAsia="仿宋"/>
          <w:color w:val="auto"/>
          <w:sz w:val="32"/>
          <w:szCs w:val="32"/>
          <w:lang w:eastAsia="zh-CN"/>
        </w:rPr>
        <w:t>培养模式</w:t>
      </w:r>
      <w:r>
        <w:rPr>
          <w:rFonts w:ascii="仿宋" w:hAnsi="仿宋" w:eastAsia="仿宋"/>
          <w:color w:val="auto"/>
          <w:sz w:val="32"/>
          <w:szCs w:val="32"/>
        </w:rPr>
        <w:t>，鼓励采</w:t>
      </w:r>
      <w:r>
        <w:rPr>
          <w:rFonts w:hint="eastAsia" w:ascii="仿宋" w:hAnsi="仿宋" w:eastAsia="仿宋"/>
          <w:color w:val="auto"/>
          <w:sz w:val="32"/>
          <w:szCs w:val="32"/>
          <w:lang w:eastAsia="zh-CN"/>
        </w:rPr>
        <w:t>取</w:t>
      </w:r>
      <w:r>
        <w:rPr>
          <w:rFonts w:ascii="仿宋" w:hAnsi="仿宋" w:eastAsia="仿宋" w:cs="Angsana New"/>
          <w:color w:val="auto"/>
          <w:kern w:val="0"/>
          <w:sz w:val="32"/>
          <w:szCs w:val="32"/>
        </w:rPr>
        <w:t>“学分制+工学交替+校企双师”培养模式完成人才培养目标。</w:t>
      </w:r>
    </w:p>
    <w:p>
      <w:pPr>
        <w:adjustRightInd w:val="0"/>
        <w:snapToGrid w:val="0"/>
        <w:spacing w:line="560" w:lineRule="exact"/>
        <w:rPr>
          <w:rFonts w:ascii="黑体" w:hAnsi="黑体" w:eastAsia="黑体"/>
          <w:color w:val="auto"/>
          <w:sz w:val="32"/>
          <w:szCs w:val="32"/>
        </w:rPr>
      </w:pPr>
      <w:r>
        <w:rPr>
          <w:rFonts w:ascii="仿宋_GB2312"/>
          <w:color w:val="auto"/>
          <w:sz w:val="32"/>
          <w:szCs w:val="32"/>
        </w:rPr>
        <w:t xml:space="preserve">    </w:t>
      </w:r>
      <w:r>
        <w:rPr>
          <w:rFonts w:hint="eastAsia" w:ascii="黑体" w:hAnsi="黑体" w:eastAsia="黑体"/>
          <w:color w:val="auto"/>
          <w:sz w:val="32"/>
          <w:szCs w:val="32"/>
        </w:rPr>
        <w:t>三、</w:t>
      </w:r>
      <w:r>
        <w:rPr>
          <w:rFonts w:hint="eastAsia" w:ascii="黑体" w:hAnsi="黑体" w:eastAsia="黑体"/>
          <w:color w:val="auto"/>
          <w:sz w:val="32"/>
          <w:szCs w:val="32"/>
          <w:shd w:val="clear" w:color="auto" w:fill="FFFFFF"/>
        </w:rPr>
        <w:t>完善学制技师人才培养机制</w:t>
      </w:r>
    </w:p>
    <w:p>
      <w:pPr>
        <w:adjustRightInd w:val="0"/>
        <w:snapToGrid w:val="0"/>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各试点院校要遵循技术技能人才成长和学生身心发展规律，紧跟产业发展趋势和行业企业人才需求，规范学制技师培养全过程，加快培养复合型技术技能人才。</w:t>
      </w:r>
    </w:p>
    <w:p>
      <w:pPr>
        <w:adjustRightInd w:val="0"/>
        <w:snapToGrid w:val="0"/>
        <w:spacing w:line="560" w:lineRule="exact"/>
        <w:ind w:firstLine="643" w:firstLineChars="200"/>
        <w:rPr>
          <w:rFonts w:hint="eastAsia" w:ascii="仿宋_GB2312" w:hAnsi="仿宋_GB2312"/>
          <w:color w:val="auto"/>
          <w:sz w:val="32"/>
          <w:szCs w:val="32"/>
        </w:rPr>
      </w:pPr>
      <w:r>
        <w:rPr>
          <w:rFonts w:hint="eastAsia" w:ascii="楷体" w:hAnsi="楷体" w:eastAsia="楷体"/>
          <w:b/>
          <w:bCs/>
          <w:color w:val="auto"/>
          <w:sz w:val="32"/>
          <w:szCs w:val="32"/>
        </w:rPr>
        <w:t>（一）严格遴选合作的</w:t>
      </w:r>
      <w:r>
        <w:rPr>
          <w:rFonts w:hint="eastAsia" w:ascii="楷体" w:hAnsi="楷体" w:eastAsia="楷体" w:cs="仿宋_GB2312"/>
          <w:b/>
          <w:bCs/>
          <w:color w:val="auto"/>
          <w:sz w:val="32"/>
          <w:szCs w:val="32"/>
        </w:rPr>
        <w:t>行业企业。</w:t>
      </w:r>
      <w:r>
        <w:rPr>
          <w:rFonts w:ascii="仿宋" w:hAnsi="仿宋" w:eastAsia="仿宋"/>
          <w:color w:val="auto"/>
          <w:sz w:val="32"/>
          <w:szCs w:val="32"/>
        </w:rPr>
        <w:t>各试点院校要结合区域产业经济发展需要，选择与本校专业群发展相一致、具有一定数量对应技师岗位的行业企业开展校企合作培养学制技师。重点选择符合产业发展导向、综合实力强、社会贡献大、发展前景好、质量效益高、全面示范强的企业。</w:t>
      </w:r>
      <w:r>
        <w:rPr>
          <w:rFonts w:hint="eastAsia" w:ascii="仿宋" w:hAnsi="仿宋" w:eastAsia="仿宋"/>
          <w:color w:val="auto"/>
          <w:sz w:val="32"/>
          <w:szCs w:val="32"/>
        </w:rPr>
        <w:t>要</w:t>
      </w:r>
      <w:r>
        <w:rPr>
          <w:rFonts w:ascii="仿宋" w:hAnsi="仿宋" w:eastAsia="仿宋"/>
          <w:color w:val="auto"/>
          <w:sz w:val="32"/>
          <w:szCs w:val="32"/>
        </w:rPr>
        <w:t>以“八个共同”为指导，探索校企“双主体”育人机制，实现“工学交替、校企双师”联合培养。鼓励校企双方充分发挥各自的场所、文化、设备及人力资源等方面优势，共同完成技师层次技能人才培养和评价，实现岗位培养、岗位成才、双方共赢。</w:t>
      </w:r>
    </w:p>
    <w:p>
      <w:pPr>
        <w:adjustRightInd w:val="0"/>
        <w:snapToGrid w:val="0"/>
        <w:spacing w:line="560" w:lineRule="exact"/>
        <w:ind w:firstLine="643" w:firstLineChars="200"/>
        <w:rPr>
          <w:rFonts w:ascii="仿宋" w:hAnsi="仿宋" w:eastAsia="仿宋"/>
          <w:color w:val="auto"/>
          <w:sz w:val="32"/>
          <w:szCs w:val="32"/>
        </w:rPr>
      </w:pPr>
      <w:r>
        <w:rPr>
          <w:rFonts w:hint="eastAsia" w:ascii="楷体" w:hAnsi="楷体" w:eastAsia="楷体" w:cs="仿宋_GB2312"/>
          <w:b/>
          <w:bCs/>
          <w:color w:val="auto"/>
          <w:sz w:val="32"/>
          <w:szCs w:val="32"/>
        </w:rPr>
        <w:t>（二）加强工学结合的</w:t>
      </w:r>
      <w:r>
        <w:rPr>
          <w:rFonts w:hint="eastAsia" w:ascii="楷体" w:hAnsi="楷体" w:eastAsia="楷体" w:cs="仿宋_GB2312"/>
          <w:b/>
          <w:bCs/>
          <w:color w:val="auto"/>
          <w:sz w:val="32"/>
          <w:szCs w:val="32"/>
          <w:lang w:eastAsia="zh-CN"/>
        </w:rPr>
        <w:t>课程</w:t>
      </w:r>
      <w:r>
        <w:rPr>
          <w:rFonts w:hint="eastAsia" w:ascii="楷体" w:hAnsi="楷体" w:eastAsia="楷体" w:cs="仿宋_GB2312"/>
          <w:b/>
          <w:bCs/>
          <w:color w:val="auto"/>
          <w:sz w:val="32"/>
          <w:szCs w:val="32"/>
        </w:rPr>
        <w:t>改革。</w:t>
      </w:r>
      <w:r>
        <w:rPr>
          <w:rFonts w:ascii="仿宋" w:hAnsi="仿宋" w:eastAsia="仿宋"/>
          <w:color w:val="auto"/>
          <w:sz w:val="32"/>
          <w:szCs w:val="32"/>
        </w:rPr>
        <w:t>各试点院校要依据国家职业技能标准及技能人才培养标准，以综合职业能力培养为目标，将工作过程和学习过程融为一体。通过课程标准、教学资源、教学方法、教学场地、教师队伍等配套建设，保质、保量、按时完成既定培养任务。在不同学年安排与课程内容相匹配的企业工作实践，帮助学生在企业真实工作情境下、在真实岗位上</w:t>
      </w:r>
      <w:r>
        <w:rPr>
          <w:rFonts w:hint="eastAsia" w:ascii="仿宋" w:hAnsi="仿宋" w:eastAsia="仿宋"/>
          <w:color w:val="auto"/>
          <w:sz w:val="32"/>
          <w:szCs w:val="32"/>
          <w:lang w:eastAsia="zh-CN"/>
        </w:rPr>
        <w:t>，</w:t>
      </w:r>
      <w:r>
        <w:rPr>
          <w:rFonts w:ascii="仿宋" w:hAnsi="仿宋" w:eastAsia="仿宋"/>
          <w:color w:val="auto"/>
          <w:sz w:val="32"/>
          <w:szCs w:val="32"/>
        </w:rPr>
        <w:t>运用真实项目开展生产实践学习。</w:t>
      </w:r>
    </w:p>
    <w:p>
      <w:pPr>
        <w:adjustRightInd w:val="0"/>
        <w:snapToGrid w:val="0"/>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lang w:val="en-US" w:eastAsia="zh-CN"/>
        </w:rPr>
        <w:t>鼓励试点院校</w:t>
      </w:r>
      <w:r>
        <w:rPr>
          <w:rFonts w:hint="eastAsia" w:ascii="仿宋" w:hAnsi="仿宋" w:eastAsia="仿宋" w:cs="仿宋"/>
          <w:color w:val="auto"/>
          <w:sz w:val="32"/>
          <w:szCs w:val="32"/>
        </w:rPr>
        <w:t>联合企业共同开发“企业生产实践课程”，合作探索工学交替、多学期、分段式等多种形式的实践性教学改革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在人才培养方案中明确其教学内容和考核要求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“企业生产实践课程”不计入学生</w:t>
      </w:r>
      <w:r>
        <w:rPr>
          <w:rFonts w:hint="eastAsia" w:ascii="仿宋" w:hAnsi="仿宋" w:eastAsia="仿宋" w:cs="仿宋"/>
          <w:color w:val="auto"/>
          <w:sz w:val="32"/>
          <w:szCs w:val="32"/>
          <w:lang w:val="en-US" w:eastAsia="zh-CN"/>
        </w:rPr>
        <w:t>岗位</w:t>
      </w:r>
      <w:r>
        <w:rPr>
          <w:rFonts w:hint="eastAsia" w:ascii="仿宋" w:hAnsi="仿宋" w:eastAsia="仿宋" w:cs="仿宋"/>
          <w:color w:val="auto"/>
          <w:sz w:val="32"/>
          <w:szCs w:val="32"/>
        </w:rPr>
        <w:t>实习时间总量</w:t>
      </w:r>
      <w:r>
        <w:rPr>
          <w:rFonts w:ascii="仿宋" w:hAnsi="仿宋" w:eastAsia="仿宋"/>
          <w:color w:val="auto"/>
          <w:sz w:val="32"/>
          <w:szCs w:val="32"/>
        </w:rPr>
        <w:t>。</w:t>
      </w:r>
    </w:p>
    <w:p>
      <w:pPr>
        <w:adjustRightInd w:val="0"/>
        <w:snapToGrid w:val="0"/>
        <w:spacing w:line="560" w:lineRule="exact"/>
        <w:ind w:firstLine="643" w:firstLineChars="200"/>
        <w:rPr>
          <w:rFonts w:ascii="仿宋" w:hAnsi="仿宋" w:eastAsia="仿宋"/>
          <w:color w:val="auto"/>
          <w:sz w:val="32"/>
          <w:szCs w:val="32"/>
        </w:rPr>
      </w:pPr>
      <w:r>
        <w:rPr>
          <w:rFonts w:hint="eastAsia" w:ascii="楷体" w:hAnsi="楷体" w:eastAsia="楷体" w:cs="仿宋_GB2312"/>
          <w:b/>
          <w:bCs/>
          <w:color w:val="auto"/>
          <w:sz w:val="32"/>
          <w:szCs w:val="32"/>
        </w:rPr>
        <w:t>（三）建设校企双师型的师资队伍。</w:t>
      </w:r>
      <w:r>
        <w:rPr>
          <w:rFonts w:ascii="仿宋" w:hAnsi="仿宋" w:eastAsia="仿宋"/>
          <w:color w:val="auto"/>
          <w:sz w:val="32"/>
          <w:szCs w:val="32"/>
        </w:rPr>
        <w:t>各试点院校要为学制技师班每名学生配备企业导师和院校导师，两类导师要明确分工，共同指导学生完成课题（项目）选取、企业实践、课题（项目）研修、项目报告（论文）撰写、毕业答辩等工作。企业导师由合作企业技师及以上岗位、具备本领域技术专长的师傅担任。院校导师由教学经验丰富、专业技术技能扎实的骨干教师担任。</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四、健全</w:t>
      </w:r>
      <w:r>
        <w:rPr>
          <w:rFonts w:hint="eastAsia" w:ascii="黑体" w:hAnsi="黑体" w:eastAsia="黑体"/>
          <w:color w:val="auto"/>
          <w:sz w:val="32"/>
          <w:szCs w:val="32"/>
          <w:shd w:val="clear" w:color="auto" w:fill="FFFFFF"/>
        </w:rPr>
        <w:t>学制技师考核评价体系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学制技师培养要在充分借鉴行业企业技能人才评价标准的基础上，建立健全技师专业水平评价体系和评定机制，科学、客观、公正地评价技师专业水平。各地市、各技师学院学制技师评价工作要以生源把关、过程评价、毕业考核、就业反馈四个维度为基础建立全方位、全过程评价体系。</w:t>
      </w:r>
    </w:p>
    <w:p>
      <w:pPr>
        <w:spacing w:line="560" w:lineRule="exact"/>
        <w:ind w:firstLine="641" w:firstLineChars="200"/>
        <w:rPr>
          <w:rFonts w:ascii="仿宋" w:hAnsi="仿宋" w:eastAsia="仿宋"/>
          <w:color w:val="auto"/>
          <w:sz w:val="32"/>
          <w:szCs w:val="32"/>
        </w:rPr>
      </w:pPr>
      <w:r>
        <w:rPr>
          <w:rFonts w:hint="eastAsia" w:ascii="华文楷体" w:hAnsi="华文楷体" w:eastAsia="华文楷体"/>
          <w:b/>
          <w:bCs/>
          <w:color w:val="auto"/>
          <w:sz w:val="32"/>
          <w:szCs w:val="32"/>
        </w:rPr>
        <w:t>（一）严格把好生源质量关。</w:t>
      </w:r>
      <w:r>
        <w:rPr>
          <w:rFonts w:hint="eastAsia" w:ascii="仿宋" w:hAnsi="仿宋" w:eastAsia="仿宋"/>
          <w:color w:val="auto"/>
          <w:sz w:val="32"/>
          <w:szCs w:val="32"/>
        </w:rPr>
        <w:t>根据专业特点对报读生源进行遴选，</w:t>
      </w:r>
      <w:r>
        <w:rPr>
          <w:rFonts w:hint="eastAsia" w:ascii="仿宋" w:hAnsi="仿宋" w:eastAsia="仿宋"/>
          <w:color w:val="auto"/>
          <w:sz w:val="32"/>
          <w:szCs w:val="32"/>
          <w:lang w:eastAsia="zh-CN"/>
        </w:rPr>
        <w:t>择优</w:t>
      </w:r>
      <w:r>
        <w:rPr>
          <w:rFonts w:hint="eastAsia" w:ascii="仿宋" w:hAnsi="仿宋" w:eastAsia="仿宋"/>
          <w:color w:val="auto"/>
          <w:sz w:val="32"/>
          <w:szCs w:val="32"/>
        </w:rPr>
        <w:t>招录具备较好基础知识和技能学习能力的生源；</w:t>
      </w:r>
      <w:r>
        <w:rPr>
          <w:rFonts w:ascii="仿宋" w:hAnsi="仿宋" w:eastAsia="仿宋"/>
          <w:color w:val="auto"/>
          <w:sz w:val="32"/>
          <w:szCs w:val="32"/>
        </w:rPr>
        <w:t>采取因材施教、循序渐进的分段分流式培养模式，切实让学制技师学有所得、学有所长、学有所成。</w:t>
      </w:r>
    </w:p>
    <w:p>
      <w:pPr>
        <w:spacing w:line="560" w:lineRule="exact"/>
        <w:ind w:firstLine="641" w:firstLineChars="200"/>
        <w:rPr>
          <w:rFonts w:eastAsia="仿宋_GB2312"/>
          <w:color w:val="auto"/>
          <w:sz w:val="32"/>
          <w:szCs w:val="32"/>
        </w:rPr>
      </w:pPr>
      <w:r>
        <w:rPr>
          <w:rFonts w:hint="eastAsia" w:ascii="华文楷体" w:hAnsi="华文楷体" w:eastAsia="华文楷体"/>
          <w:b/>
          <w:bCs/>
          <w:color w:val="auto"/>
          <w:sz w:val="32"/>
          <w:szCs w:val="32"/>
        </w:rPr>
        <w:t>（二）企业深度参与评价过程。</w:t>
      </w:r>
      <w:r>
        <w:rPr>
          <w:rFonts w:hint="eastAsia" w:ascii="仿宋" w:hAnsi="仿宋" w:eastAsia="仿宋"/>
          <w:color w:val="auto"/>
          <w:sz w:val="32"/>
          <w:szCs w:val="32"/>
        </w:rPr>
        <w:t>学制技师各阶段考核评价均应纳入企业评价指标，充分发挥企业引人、育人、用人的导向机制。</w:t>
      </w:r>
      <w:r>
        <w:rPr>
          <w:rFonts w:ascii="仿宋" w:hAnsi="仿宋" w:eastAsia="仿宋"/>
          <w:color w:val="auto"/>
          <w:sz w:val="32"/>
          <w:szCs w:val="32"/>
        </w:rPr>
        <w:t>要以“教学过程与工作过程对接、课程内容与职业标准对接、评价认定与岗位要求对接”的原则，与行业企业共同制定评价方式和评价内容，共同成立教学和考评团队。</w:t>
      </w:r>
    </w:p>
    <w:p>
      <w:pPr>
        <w:spacing w:line="560" w:lineRule="exact"/>
        <w:ind w:firstLine="641" w:firstLineChars="200"/>
        <w:rPr>
          <w:rFonts w:ascii="仿宋" w:hAnsi="仿宋" w:eastAsia="仿宋"/>
          <w:color w:val="auto"/>
          <w:sz w:val="32"/>
          <w:szCs w:val="32"/>
        </w:rPr>
      </w:pPr>
      <w:r>
        <w:rPr>
          <w:rFonts w:hint="eastAsia" w:ascii="华文楷体" w:hAnsi="华文楷体" w:eastAsia="华文楷体"/>
          <w:b/>
          <w:bCs/>
          <w:color w:val="auto"/>
          <w:sz w:val="32"/>
          <w:szCs w:val="32"/>
        </w:rPr>
        <w:t>（三）</w:t>
      </w:r>
      <w:r>
        <w:rPr>
          <w:rFonts w:hint="eastAsia" w:ascii="华文楷体" w:hAnsi="华文楷体" w:eastAsia="华文楷体"/>
          <w:b/>
          <w:bCs/>
          <w:color w:val="auto"/>
          <w:sz w:val="32"/>
          <w:szCs w:val="32"/>
          <w:lang w:eastAsia="zh-CN"/>
        </w:rPr>
        <w:t>采取</w:t>
      </w:r>
      <w:r>
        <w:rPr>
          <w:rFonts w:hint="eastAsia" w:ascii="华文楷体" w:hAnsi="华文楷体" w:eastAsia="华文楷体"/>
          <w:b/>
          <w:bCs/>
          <w:color w:val="auto"/>
          <w:sz w:val="32"/>
          <w:szCs w:val="32"/>
        </w:rPr>
        <w:t>多元评价模式。</w:t>
      </w:r>
      <w:r>
        <w:rPr>
          <w:rFonts w:hint="eastAsia" w:ascii="仿宋" w:hAnsi="仿宋" w:eastAsia="仿宋" w:cs="仿宋"/>
          <w:color w:val="auto"/>
          <w:sz w:val="32"/>
          <w:szCs w:val="32"/>
        </w:rPr>
        <w:t>加强</w:t>
      </w:r>
      <w:r>
        <w:rPr>
          <w:rFonts w:hint="eastAsia" w:ascii="仿宋" w:hAnsi="仿宋" w:eastAsia="仿宋"/>
          <w:color w:val="auto"/>
          <w:sz w:val="32"/>
          <w:szCs w:val="32"/>
        </w:rPr>
        <w:t>过程考评与结果考评相结合，兼顾课程考评、中期考评、毕业考评等各培养阶段考核，从专业知识与技能、企业生产实践、毕业设计答辩等方面进行综合考核评价，实现专业</w:t>
      </w:r>
      <w:r>
        <w:rPr>
          <w:rFonts w:hint="eastAsia" w:ascii="仿宋" w:hAnsi="仿宋" w:eastAsia="仿宋"/>
          <w:color w:val="auto"/>
          <w:sz w:val="32"/>
          <w:szCs w:val="32"/>
          <w:lang w:eastAsia="zh-CN"/>
        </w:rPr>
        <w:t>技术</w:t>
      </w:r>
      <w:r>
        <w:rPr>
          <w:rFonts w:hint="eastAsia" w:ascii="仿宋" w:hAnsi="仿宋" w:eastAsia="仿宋"/>
          <w:color w:val="auto"/>
          <w:sz w:val="32"/>
          <w:szCs w:val="32"/>
        </w:rPr>
        <w:t>能力与职业关键能力相结合的多元评价模式。</w:t>
      </w:r>
    </w:p>
    <w:p>
      <w:pPr>
        <w:spacing w:line="560" w:lineRule="exact"/>
        <w:ind w:firstLine="641" w:firstLineChars="200"/>
        <w:rPr>
          <w:rFonts w:hint="eastAsia" w:ascii="仿宋" w:hAnsi="仿宋" w:eastAsia="仿宋" w:cs="仿宋"/>
          <w:color w:val="auto"/>
          <w:sz w:val="32"/>
          <w:szCs w:val="32"/>
        </w:rPr>
      </w:pPr>
      <w:r>
        <w:rPr>
          <w:rFonts w:hint="eastAsia" w:ascii="华文楷体" w:hAnsi="华文楷体" w:eastAsia="华文楷体"/>
          <w:b/>
          <w:bCs/>
          <w:color w:val="auto"/>
          <w:sz w:val="32"/>
          <w:szCs w:val="32"/>
        </w:rPr>
        <w:t>（四）依托</w:t>
      </w:r>
      <w:r>
        <w:rPr>
          <w:rFonts w:hint="eastAsia" w:ascii="华文楷体" w:hAnsi="华文楷体" w:eastAsia="华文楷体"/>
          <w:b/>
          <w:bCs/>
          <w:color w:val="auto"/>
          <w:sz w:val="32"/>
          <w:szCs w:val="32"/>
          <w:lang w:eastAsia="zh-CN"/>
        </w:rPr>
        <w:t>职业</w:t>
      </w:r>
      <w:r>
        <w:rPr>
          <w:rFonts w:hint="eastAsia" w:ascii="华文楷体" w:hAnsi="华文楷体" w:eastAsia="华文楷体"/>
          <w:b/>
          <w:bCs/>
          <w:color w:val="auto"/>
          <w:sz w:val="32"/>
          <w:szCs w:val="32"/>
        </w:rPr>
        <w:t>技能等级认定</w:t>
      </w:r>
      <w:r>
        <w:rPr>
          <w:rFonts w:hint="eastAsia" w:ascii="仿宋" w:hAnsi="仿宋" w:eastAsia="仿宋" w:cs="仿宋"/>
          <w:b/>
          <w:bCs/>
          <w:color w:val="auto"/>
          <w:sz w:val="32"/>
          <w:szCs w:val="32"/>
        </w:rPr>
        <w:t>。</w:t>
      </w:r>
      <w:r>
        <w:rPr>
          <w:rFonts w:hint="eastAsia" w:ascii="仿宋" w:hAnsi="仿宋" w:eastAsia="仿宋" w:cs="仿宋"/>
          <w:color w:val="auto"/>
          <w:sz w:val="32"/>
          <w:szCs w:val="32"/>
        </w:rPr>
        <w:t>在充分发挥学生、学校导师、企业导师、第三方机构等多评价主体作用的基础上，</w:t>
      </w:r>
      <w:r>
        <w:rPr>
          <w:rFonts w:hint="eastAsia" w:ascii="仿宋" w:hAnsi="仿宋" w:eastAsia="仿宋" w:cs="仿宋"/>
          <w:color w:val="auto"/>
          <w:sz w:val="32"/>
          <w:szCs w:val="32"/>
          <w:lang w:eastAsia="zh-CN"/>
        </w:rPr>
        <w:t>依托</w:t>
      </w:r>
      <w:r>
        <w:rPr>
          <w:rFonts w:hint="eastAsia" w:ascii="仿宋" w:hAnsi="仿宋" w:eastAsia="仿宋" w:cs="仿宋"/>
          <w:color w:val="auto"/>
          <w:sz w:val="32"/>
          <w:szCs w:val="32"/>
        </w:rPr>
        <w:t>相关工种技师级别职业技能等级认定机构同步开展职业技能等级、专业技术证书评价与考核，鼓励试点专业参加</w:t>
      </w:r>
      <w:r>
        <w:rPr>
          <w:rFonts w:hint="eastAsia" w:ascii="仿宋" w:hAnsi="仿宋" w:eastAsia="仿宋" w:cs="仿宋"/>
          <w:color w:val="auto"/>
          <w:sz w:val="32"/>
          <w:szCs w:val="32"/>
          <w:lang w:val="en-US" w:eastAsia="zh-CN"/>
        </w:rPr>
        <w:t>社会认可度高的</w:t>
      </w:r>
      <w:r>
        <w:rPr>
          <w:rFonts w:hint="eastAsia" w:ascii="仿宋" w:hAnsi="仿宋" w:eastAsia="仿宋" w:cs="仿宋"/>
          <w:color w:val="auto"/>
          <w:sz w:val="32"/>
          <w:szCs w:val="32"/>
        </w:rPr>
        <w:t>专业技术证书评价与考核。</w:t>
      </w:r>
    </w:p>
    <w:p>
      <w:pPr>
        <w:spacing w:line="560" w:lineRule="exact"/>
        <w:ind w:firstLine="641" w:firstLineChars="200"/>
        <w:rPr>
          <w:rFonts w:hint="default" w:eastAsia="仿宋"/>
          <w:color w:val="auto"/>
          <w:lang w:val="en-US" w:eastAsia="zh-CN"/>
        </w:rPr>
      </w:pPr>
      <w:r>
        <w:rPr>
          <w:rFonts w:hint="eastAsia" w:ascii="华文楷体" w:hAnsi="华文楷体" w:eastAsia="华文楷体"/>
          <w:b/>
          <w:bCs/>
          <w:color w:val="auto"/>
          <w:sz w:val="32"/>
          <w:szCs w:val="32"/>
          <w:lang w:eastAsia="zh-CN"/>
        </w:rPr>
        <w:t>（</w:t>
      </w:r>
      <w:r>
        <w:rPr>
          <w:rFonts w:hint="eastAsia" w:ascii="华文楷体" w:hAnsi="华文楷体" w:eastAsia="华文楷体"/>
          <w:b/>
          <w:bCs/>
          <w:color w:val="auto"/>
          <w:sz w:val="32"/>
          <w:szCs w:val="32"/>
          <w:lang w:val="en-US" w:eastAsia="zh-CN"/>
        </w:rPr>
        <w:t>五）加强就业质量分析</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lang w:val="en-US" w:eastAsia="zh-CN"/>
        </w:rPr>
        <w:t>建立学制技师班就业质量跟踪和分析工作机制，在毕业生就业后一定时间内（毕业半年或一年等），开展就业质量调查，对学制技师班毕业生对口就业率、稳定就业率、就业后相关待遇等方面进行综合分析，并用就业质量分析结果指导培养过程的持续改进。</w:t>
      </w:r>
    </w:p>
    <w:p>
      <w:pPr>
        <w:adjustRightInd w:val="0"/>
        <w:snapToGrid w:val="0"/>
        <w:spacing w:line="560" w:lineRule="exact"/>
        <w:rPr>
          <w:rFonts w:ascii="黑体" w:eastAsia="黑体"/>
          <w:color w:val="auto"/>
          <w:spacing w:val="-6"/>
          <w:sz w:val="32"/>
          <w:szCs w:val="32"/>
        </w:rPr>
      </w:pPr>
      <w:r>
        <w:rPr>
          <w:rFonts w:ascii="仿宋_GB2312" w:hAnsi="仿宋" w:cs="Angsana New"/>
          <w:color w:val="auto"/>
          <w:kern w:val="0"/>
          <w:sz w:val="32"/>
          <w:szCs w:val="32"/>
        </w:rPr>
        <w:t xml:space="preserve">      </w:t>
      </w:r>
      <w:r>
        <w:rPr>
          <w:rFonts w:hint="eastAsia" w:ascii="黑体" w:hAnsi="黑体" w:eastAsia="黑体"/>
          <w:color w:val="auto"/>
          <w:spacing w:val="-6"/>
          <w:sz w:val="32"/>
          <w:szCs w:val="32"/>
        </w:rPr>
        <w:t>五、相关工作要求</w:t>
      </w:r>
    </w:p>
    <w:p>
      <w:pPr>
        <w:adjustRightInd w:val="0"/>
        <w:snapToGrid w:val="0"/>
        <w:spacing w:line="560" w:lineRule="exact"/>
        <w:ind w:firstLine="641" w:firstLineChars="200"/>
        <w:rPr>
          <w:rFonts w:ascii="仿宋" w:hAnsi="仿宋" w:eastAsia="仿宋"/>
          <w:color w:val="auto"/>
          <w:spacing w:val="-6"/>
          <w:sz w:val="32"/>
          <w:szCs w:val="32"/>
        </w:rPr>
      </w:pPr>
      <w:r>
        <w:rPr>
          <w:rFonts w:ascii="华文楷体" w:hAnsi="华文楷体" w:eastAsia="华文楷体"/>
          <w:b/>
          <w:bCs/>
          <w:color w:val="auto"/>
          <w:sz w:val="32"/>
          <w:szCs w:val="32"/>
        </w:rPr>
        <w:t>（一）加强组织领导。</w:t>
      </w:r>
      <w:r>
        <w:rPr>
          <w:rFonts w:ascii="仿宋" w:hAnsi="仿宋" w:eastAsia="仿宋"/>
          <w:color w:val="auto"/>
          <w:sz w:val="32"/>
          <w:szCs w:val="32"/>
        </w:rPr>
        <w:t>各地市要高度重视，按照省厅的统一部署，加大资源投入，充分调动属地技师学院积极性，指导试点院校做好相关工作。试点院校要成立校主要领导牵头，骨干专业教师、教学管理人员共同组成的专门工作小组，加大人力、物力和财力投入，完善学制技师教学管理机制和人才培养方案，确保学制技师专业建设和高技能人才培养质量。</w:t>
      </w:r>
    </w:p>
    <w:p>
      <w:pPr>
        <w:adjustRightInd w:val="0"/>
        <w:snapToGrid w:val="0"/>
        <w:spacing w:line="560" w:lineRule="exact"/>
        <w:ind w:firstLine="641" w:firstLineChars="200"/>
        <w:rPr>
          <w:rFonts w:ascii="仿宋" w:hAnsi="仿宋" w:eastAsia="仿宋" w:cs="楷体_GB2312"/>
          <w:color w:val="auto"/>
          <w:sz w:val="32"/>
          <w:szCs w:val="32"/>
        </w:rPr>
      </w:pPr>
      <w:r>
        <w:rPr>
          <w:rFonts w:ascii="华文楷体" w:hAnsi="华文楷体" w:eastAsia="华文楷体"/>
          <w:b/>
          <w:bCs/>
          <w:color w:val="auto"/>
          <w:sz w:val="32"/>
          <w:szCs w:val="32"/>
        </w:rPr>
        <w:t>（二）确保培养质量。</w:t>
      </w:r>
      <w:r>
        <w:rPr>
          <w:rFonts w:ascii="仿宋" w:hAnsi="仿宋" w:eastAsia="仿宋" w:cs="楷体_GB2312"/>
          <w:color w:val="auto"/>
          <w:sz w:val="32"/>
          <w:szCs w:val="32"/>
        </w:rPr>
        <w:t>各地市、各试点院校要加强日常教学管理和阶段考核工作，加强教学过程的检查和督导。省</w:t>
      </w:r>
      <w:r>
        <w:rPr>
          <w:rFonts w:hint="eastAsia" w:ascii="仿宋" w:hAnsi="仿宋" w:eastAsia="仿宋" w:cs="楷体_GB2312"/>
          <w:color w:val="auto"/>
          <w:sz w:val="32"/>
          <w:szCs w:val="32"/>
          <w:lang w:eastAsia="zh-CN"/>
        </w:rPr>
        <w:t>厅</w:t>
      </w:r>
      <w:r>
        <w:rPr>
          <w:rFonts w:ascii="仿宋" w:hAnsi="仿宋" w:eastAsia="仿宋" w:cs="楷体_GB2312"/>
          <w:color w:val="auto"/>
          <w:sz w:val="32"/>
          <w:szCs w:val="32"/>
        </w:rPr>
        <w:t>将不定期组织开展学制技师培养的经验交流和教学研究活动，</w:t>
      </w:r>
      <w:r>
        <w:rPr>
          <w:rFonts w:hint="eastAsia" w:ascii="仿宋" w:hAnsi="仿宋" w:eastAsia="仿宋" w:cs="楷体_GB2312"/>
          <w:color w:val="auto"/>
          <w:sz w:val="32"/>
          <w:szCs w:val="32"/>
          <w:lang w:eastAsia="zh-CN"/>
        </w:rPr>
        <w:t>探索</w:t>
      </w:r>
      <w:r>
        <w:rPr>
          <w:rFonts w:ascii="仿宋" w:hAnsi="仿宋" w:eastAsia="仿宋" w:cs="楷体_GB2312"/>
          <w:color w:val="auto"/>
          <w:sz w:val="32"/>
          <w:szCs w:val="32"/>
        </w:rPr>
        <w:t>完善配套制度。</w:t>
      </w:r>
    </w:p>
    <w:p>
      <w:pPr>
        <w:adjustRightInd w:val="0"/>
        <w:snapToGrid w:val="0"/>
        <w:spacing w:line="560" w:lineRule="exact"/>
        <w:ind w:firstLine="640" w:firstLineChars="200"/>
        <w:rPr>
          <w:rFonts w:ascii="仿宋" w:hAnsi="仿宋" w:eastAsia="仿宋"/>
          <w:color w:val="auto"/>
        </w:rPr>
      </w:pPr>
      <w:r>
        <w:rPr>
          <w:rFonts w:ascii="仿宋" w:hAnsi="仿宋" w:eastAsia="仿宋" w:cs="楷体_GB2312"/>
          <w:color w:val="auto"/>
          <w:sz w:val="32"/>
          <w:szCs w:val="32"/>
        </w:rPr>
        <w:t>各试点院校要</w:t>
      </w:r>
      <w:r>
        <w:rPr>
          <w:rFonts w:hint="eastAsia" w:ascii="仿宋" w:hAnsi="仿宋" w:eastAsia="仿宋" w:cs="楷体_GB2312"/>
          <w:color w:val="auto"/>
          <w:sz w:val="32"/>
          <w:szCs w:val="32"/>
          <w:lang w:eastAsia="zh-CN"/>
        </w:rPr>
        <w:t>严格落实学制技师考核评价方案，</w:t>
      </w:r>
      <w:r>
        <w:rPr>
          <w:rFonts w:ascii="仿宋" w:hAnsi="仿宋" w:eastAsia="仿宋" w:cs="楷体_GB2312"/>
          <w:color w:val="auto"/>
          <w:sz w:val="32"/>
          <w:szCs w:val="32"/>
        </w:rPr>
        <w:t>建立健全学制技师培养</w:t>
      </w:r>
      <w:r>
        <w:rPr>
          <w:rFonts w:hint="eastAsia" w:ascii="仿宋" w:hAnsi="仿宋" w:eastAsia="仿宋" w:cs="楷体_GB2312"/>
          <w:color w:val="auto"/>
          <w:sz w:val="32"/>
          <w:szCs w:val="32"/>
          <w:lang w:eastAsia="zh-CN"/>
        </w:rPr>
        <w:t>分流机制，</w:t>
      </w:r>
      <w:r>
        <w:rPr>
          <w:rFonts w:ascii="仿宋" w:hAnsi="仿宋" w:eastAsia="仿宋" w:cs="楷体_GB2312"/>
          <w:color w:val="auto"/>
          <w:sz w:val="32"/>
          <w:szCs w:val="32"/>
        </w:rPr>
        <w:t>对于达到各阶段考评标准的，完成学业内容的学生颁发学制技师毕业证书，对于未能达到阶段考评要求的，</w:t>
      </w:r>
      <w:r>
        <w:rPr>
          <w:rFonts w:hint="eastAsia" w:ascii="仿宋" w:hAnsi="仿宋" w:eastAsia="仿宋" w:cs="楷体_GB2312"/>
          <w:color w:val="auto"/>
          <w:sz w:val="32"/>
          <w:szCs w:val="32"/>
          <w:lang w:eastAsia="zh-CN"/>
        </w:rPr>
        <w:t>按照已完成的级别予以分流。</w:t>
      </w:r>
    </w:p>
    <w:p>
      <w:pPr>
        <w:adjustRightInd w:val="0"/>
        <w:snapToGrid w:val="0"/>
        <w:spacing w:line="560" w:lineRule="exact"/>
        <w:ind w:firstLine="641" w:firstLineChars="200"/>
        <w:rPr>
          <w:rFonts w:hint="eastAsia" w:ascii="仿宋_GB2312" w:eastAsia="仿宋"/>
          <w:color w:val="auto"/>
          <w:sz w:val="32"/>
          <w:szCs w:val="32"/>
        </w:rPr>
      </w:pPr>
      <w:r>
        <w:rPr>
          <w:rFonts w:ascii="华文楷体" w:hAnsi="华文楷体" w:eastAsia="华文楷体"/>
          <w:b/>
          <w:bCs/>
          <w:color w:val="auto"/>
          <w:sz w:val="32"/>
          <w:szCs w:val="32"/>
        </w:rPr>
        <w:t>（三）严格纪律要求。</w:t>
      </w:r>
      <w:r>
        <w:rPr>
          <w:rFonts w:ascii="仿宋" w:hAnsi="仿宋" w:eastAsia="仿宋"/>
          <w:color w:val="auto"/>
          <w:sz w:val="32"/>
          <w:szCs w:val="32"/>
        </w:rPr>
        <w:t>试点的院校要严格按照</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先报备再招生</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的原则开展招生和</w:t>
      </w:r>
      <w:r>
        <w:rPr>
          <w:rFonts w:ascii="仿宋" w:hAnsi="仿宋" w:eastAsia="仿宋"/>
          <w:color w:val="auto"/>
          <w:sz w:val="32"/>
          <w:szCs w:val="32"/>
        </w:rPr>
        <w:t>组织教育教学，不得超范围招生，也不得无故停止招生，不得乱收费。</w:t>
      </w:r>
      <w:r>
        <w:rPr>
          <w:rFonts w:hint="eastAsia" w:ascii="仿宋" w:hAnsi="仿宋" w:eastAsia="仿宋"/>
          <w:color w:val="auto"/>
          <w:sz w:val="32"/>
          <w:szCs w:val="32"/>
          <w:lang w:eastAsia="zh-CN"/>
        </w:rPr>
        <w:t>对违反试点工作要求的院校，省厅将视情节严重程度停止试点。</w:t>
      </w:r>
    </w:p>
    <w:p>
      <w:pPr>
        <w:adjustRightInd w:val="0"/>
        <w:snapToGrid w:val="0"/>
        <w:spacing w:line="560" w:lineRule="exact"/>
        <w:ind w:firstLine="641" w:firstLineChars="200"/>
        <w:rPr>
          <w:rFonts w:ascii="仿宋" w:hAnsi="仿宋" w:eastAsia="仿宋"/>
          <w:color w:val="auto"/>
          <w:sz w:val="32"/>
          <w:szCs w:val="32"/>
        </w:rPr>
      </w:pPr>
      <w:r>
        <w:rPr>
          <w:rFonts w:ascii="华文楷体" w:hAnsi="华文楷体" w:eastAsia="华文楷体"/>
          <w:b/>
          <w:bCs/>
          <w:color w:val="auto"/>
          <w:sz w:val="32"/>
          <w:szCs w:val="32"/>
        </w:rPr>
        <w:t>（四）规范申报流程。</w:t>
      </w:r>
      <w:r>
        <w:rPr>
          <w:rFonts w:hint="eastAsia" w:ascii="仿宋" w:hAnsi="仿宋" w:eastAsia="仿宋"/>
          <w:color w:val="auto"/>
          <w:sz w:val="32"/>
          <w:szCs w:val="32"/>
        </w:rPr>
        <w:t>申报院校根据学制技师</w:t>
      </w:r>
      <w:r>
        <w:rPr>
          <w:rFonts w:hint="eastAsia" w:ascii="仿宋" w:hAnsi="仿宋" w:eastAsia="仿宋"/>
          <w:color w:val="auto"/>
          <w:sz w:val="32"/>
          <w:szCs w:val="32"/>
          <w:lang w:val="en-US" w:eastAsia="zh-CN"/>
        </w:rPr>
        <w:t>试点</w:t>
      </w:r>
      <w:r>
        <w:rPr>
          <w:rFonts w:hint="eastAsia" w:ascii="仿宋" w:hAnsi="仿宋" w:eastAsia="仿宋"/>
          <w:color w:val="auto"/>
          <w:sz w:val="32"/>
          <w:szCs w:val="32"/>
        </w:rPr>
        <w:t>申报流程及要求，准备申报材料。广州</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rPr>
        <w:t>深圳市属院校学制技师试点申报材料报送至所在</w:t>
      </w:r>
      <w:r>
        <w:rPr>
          <w:rFonts w:hint="eastAsia" w:ascii="仿宋" w:hAnsi="仿宋" w:eastAsia="仿宋"/>
          <w:color w:val="auto"/>
          <w:sz w:val="32"/>
          <w:szCs w:val="32"/>
          <w:highlight w:val="none"/>
          <w:lang w:eastAsia="zh-CN"/>
        </w:rPr>
        <w:t>地</w:t>
      </w:r>
      <w:r>
        <w:rPr>
          <w:rFonts w:hint="eastAsia" w:ascii="仿宋" w:hAnsi="仿宋" w:eastAsia="仿宋"/>
          <w:color w:val="auto"/>
          <w:sz w:val="32"/>
          <w:szCs w:val="32"/>
          <w:highlight w:val="none"/>
        </w:rPr>
        <w:t>市人力资源和社会保障局，省属</w:t>
      </w:r>
      <w:r>
        <w:rPr>
          <w:rFonts w:hint="eastAsia" w:ascii="仿宋" w:hAnsi="仿宋" w:eastAsia="仿宋"/>
          <w:color w:val="auto"/>
          <w:sz w:val="32"/>
          <w:szCs w:val="32"/>
          <w:highlight w:val="none"/>
          <w:lang w:val="en-US" w:eastAsia="zh-CN"/>
        </w:rPr>
        <w:t>院校</w:t>
      </w:r>
      <w:r>
        <w:rPr>
          <w:rFonts w:hint="eastAsia" w:ascii="仿宋" w:hAnsi="仿宋" w:eastAsia="仿宋"/>
          <w:color w:val="auto"/>
          <w:sz w:val="32"/>
          <w:szCs w:val="32"/>
          <w:highlight w:val="none"/>
        </w:rPr>
        <w:t>和其他市属</w:t>
      </w:r>
      <w:r>
        <w:rPr>
          <w:rFonts w:hint="eastAsia" w:ascii="仿宋" w:hAnsi="仿宋" w:eastAsia="仿宋"/>
          <w:color w:val="auto"/>
          <w:sz w:val="32"/>
          <w:szCs w:val="32"/>
          <w:highlight w:val="none"/>
          <w:lang w:val="en-US" w:eastAsia="zh-CN"/>
        </w:rPr>
        <w:t>院校</w:t>
      </w:r>
      <w:r>
        <w:rPr>
          <w:rFonts w:hint="eastAsia" w:ascii="仿宋" w:hAnsi="仿宋" w:eastAsia="仿宋"/>
          <w:color w:val="auto"/>
          <w:sz w:val="32"/>
          <w:szCs w:val="32"/>
          <w:highlight w:val="none"/>
        </w:rPr>
        <w:t>报送至省职业技术教研</w:t>
      </w:r>
      <w:r>
        <w:rPr>
          <w:rFonts w:hint="eastAsia" w:ascii="仿宋" w:hAnsi="仿宋" w:eastAsia="仿宋"/>
          <w:color w:val="auto"/>
          <w:sz w:val="32"/>
          <w:szCs w:val="32"/>
        </w:rPr>
        <w:t>室</w:t>
      </w:r>
      <w:r>
        <w:rPr>
          <w:rFonts w:hint="eastAsia" w:ascii="仿宋" w:hAnsi="仿宋" w:eastAsia="仿宋"/>
          <w:color w:val="auto"/>
          <w:sz w:val="32"/>
          <w:szCs w:val="32"/>
          <w:lang w:eastAsia="zh-CN"/>
        </w:rPr>
        <w:t>（下称省教研室）</w:t>
      </w:r>
      <w:r>
        <w:rPr>
          <w:rFonts w:hint="eastAsia" w:ascii="仿宋" w:hAnsi="仿宋" w:eastAsia="仿宋"/>
          <w:color w:val="auto"/>
          <w:sz w:val="32"/>
          <w:szCs w:val="32"/>
        </w:rPr>
        <w:t>。受理单位</w:t>
      </w:r>
      <w:r>
        <w:rPr>
          <w:rFonts w:ascii="仿宋" w:hAnsi="仿宋" w:eastAsia="仿宋"/>
          <w:color w:val="auto"/>
          <w:sz w:val="32"/>
          <w:szCs w:val="32"/>
        </w:rPr>
        <w:t>组织</w:t>
      </w:r>
      <w:r>
        <w:rPr>
          <w:rFonts w:hint="eastAsia" w:ascii="仿宋" w:hAnsi="仿宋" w:eastAsia="仿宋"/>
          <w:color w:val="auto"/>
          <w:sz w:val="32"/>
          <w:szCs w:val="32"/>
          <w:lang w:val="en-US" w:eastAsia="zh-CN"/>
        </w:rPr>
        <w:t>院校、行业企业</w:t>
      </w:r>
      <w:r>
        <w:rPr>
          <w:rFonts w:ascii="仿宋" w:hAnsi="仿宋" w:eastAsia="仿宋"/>
          <w:color w:val="auto"/>
          <w:sz w:val="32"/>
          <w:szCs w:val="32"/>
        </w:rPr>
        <w:t>专家组成</w:t>
      </w:r>
      <w:r>
        <w:rPr>
          <w:rFonts w:hint="eastAsia" w:ascii="仿宋" w:hAnsi="仿宋" w:eastAsia="仿宋"/>
          <w:color w:val="auto"/>
          <w:sz w:val="32"/>
          <w:szCs w:val="32"/>
          <w:lang w:val="en-US" w:eastAsia="zh-CN"/>
        </w:rPr>
        <w:t>评估论证</w:t>
      </w:r>
      <w:r>
        <w:rPr>
          <w:rFonts w:ascii="仿宋" w:hAnsi="仿宋" w:eastAsia="仿宋"/>
          <w:color w:val="auto"/>
          <w:sz w:val="32"/>
          <w:szCs w:val="32"/>
        </w:rPr>
        <w:t>组，对申报材料进行</w:t>
      </w:r>
      <w:r>
        <w:rPr>
          <w:rFonts w:hint="eastAsia" w:ascii="仿宋" w:hAnsi="仿宋" w:eastAsia="仿宋"/>
          <w:color w:val="auto"/>
          <w:sz w:val="32"/>
          <w:szCs w:val="32"/>
          <w:lang w:val="en-US" w:eastAsia="zh-CN"/>
        </w:rPr>
        <w:t>评估论证</w:t>
      </w:r>
      <w:r>
        <w:rPr>
          <w:rFonts w:ascii="仿宋" w:hAnsi="仿宋" w:eastAsia="仿宋"/>
          <w:color w:val="auto"/>
          <w:sz w:val="32"/>
          <w:szCs w:val="32"/>
        </w:rPr>
        <w:t>，必要时实地考查申报院校的教学场地和合作企业等情况。</w:t>
      </w:r>
      <w:r>
        <w:rPr>
          <w:rFonts w:hint="eastAsia" w:ascii="仿宋" w:hAnsi="仿宋" w:eastAsia="仿宋"/>
          <w:color w:val="auto"/>
          <w:sz w:val="32"/>
          <w:szCs w:val="32"/>
        </w:rPr>
        <w:t>评估结果统一由省教研室公示，并经省厅同意后正式对外公布。</w:t>
      </w:r>
    </w:p>
    <w:p>
      <w:pPr>
        <w:adjustRightInd w:val="0"/>
        <w:snapToGrid w:val="0"/>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广东省</w:t>
      </w:r>
      <w:r>
        <w:rPr>
          <w:rFonts w:hint="eastAsia" w:ascii="仿宋" w:hAnsi="仿宋" w:eastAsia="仿宋"/>
          <w:color w:val="auto"/>
          <w:sz w:val="32"/>
          <w:szCs w:val="32"/>
        </w:rPr>
        <w:t>学制技师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试点</w:t>
      </w:r>
      <w:r>
        <w:rPr>
          <w:rFonts w:hint="eastAsia" w:ascii="仿宋" w:hAnsi="仿宋" w:eastAsia="仿宋"/>
          <w:color w:val="auto"/>
          <w:sz w:val="32"/>
          <w:szCs w:val="32"/>
          <w:lang w:eastAsia="zh-CN"/>
        </w:rPr>
        <w:t>）</w:t>
      </w:r>
      <w:r>
        <w:rPr>
          <w:rFonts w:hint="eastAsia" w:ascii="仿宋" w:hAnsi="仿宋" w:eastAsia="仿宋"/>
          <w:color w:val="auto"/>
          <w:sz w:val="32"/>
          <w:szCs w:val="32"/>
        </w:rPr>
        <w:t>申报流程及要求</w:t>
      </w:r>
    </w:p>
    <w:p>
      <w:pPr>
        <w:adjustRightInd w:val="0"/>
        <w:snapToGrid w:val="0"/>
        <w:spacing w:line="560" w:lineRule="exact"/>
        <w:ind w:firstLine="1600" w:firstLineChars="500"/>
        <w:rPr>
          <w:rFonts w:ascii="仿宋" w:hAnsi="仿宋" w:eastAsia="仿宋"/>
          <w:color w:val="auto"/>
          <w:sz w:val="32"/>
          <w:szCs w:val="32"/>
        </w:rPr>
      </w:pPr>
      <w:r>
        <w:rPr>
          <w:rFonts w:ascii="仿宋_GB2312"/>
          <w:color w:val="auto"/>
          <w:sz w:val="32"/>
          <w:szCs w:val="32"/>
        </w:rPr>
        <w:t>2.</w:t>
      </w:r>
      <w:r>
        <w:rPr>
          <w:rFonts w:hint="eastAsia" w:ascii="仿宋" w:hAnsi="仿宋" w:eastAsia="仿宋"/>
          <w:color w:val="auto"/>
          <w:sz w:val="32"/>
          <w:szCs w:val="32"/>
          <w:lang w:eastAsia="zh-CN"/>
        </w:rPr>
        <w:t>广东省</w:t>
      </w:r>
      <w:r>
        <w:rPr>
          <w:rFonts w:hint="eastAsia" w:ascii="仿宋" w:hAnsi="仿宋" w:eastAsia="仿宋"/>
          <w:color w:val="auto"/>
          <w:sz w:val="32"/>
          <w:szCs w:val="32"/>
        </w:rPr>
        <w:t>学制技师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试点</w:t>
      </w:r>
      <w:r>
        <w:rPr>
          <w:rFonts w:hint="eastAsia" w:ascii="仿宋" w:hAnsi="仿宋" w:eastAsia="仿宋"/>
          <w:color w:val="auto"/>
          <w:sz w:val="32"/>
          <w:szCs w:val="32"/>
          <w:lang w:eastAsia="zh-CN"/>
        </w:rPr>
        <w:t>）</w:t>
      </w:r>
      <w:r>
        <w:rPr>
          <w:rFonts w:hint="eastAsia" w:ascii="仿宋" w:hAnsi="仿宋" w:eastAsia="仿宋"/>
          <w:color w:val="auto"/>
          <w:sz w:val="32"/>
          <w:szCs w:val="32"/>
        </w:rPr>
        <w:t>申报评</w:t>
      </w:r>
      <w:r>
        <w:rPr>
          <w:rFonts w:hint="eastAsia" w:ascii="仿宋" w:hAnsi="仿宋" w:eastAsia="仿宋"/>
          <w:color w:val="auto"/>
          <w:sz w:val="32"/>
          <w:szCs w:val="32"/>
          <w:lang w:eastAsia="zh-CN"/>
        </w:rPr>
        <w:t>估</w:t>
      </w:r>
      <w:r>
        <w:rPr>
          <w:rFonts w:hint="eastAsia" w:ascii="仿宋" w:hAnsi="仿宋" w:eastAsia="仿宋"/>
          <w:color w:val="auto"/>
          <w:sz w:val="32"/>
          <w:szCs w:val="32"/>
        </w:rPr>
        <w:t>标准</w:t>
      </w:r>
    </w:p>
    <w:p>
      <w:pPr>
        <w:adjustRightInd w:val="0"/>
        <w:snapToGrid w:val="0"/>
        <w:spacing w:line="560" w:lineRule="exact"/>
        <w:ind w:firstLine="1600" w:firstLineChars="500"/>
        <w:rPr>
          <w:rFonts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eastAsia="zh-CN"/>
        </w:rPr>
        <w:t>广东省</w:t>
      </w:r>
      <w:r>
        <w:rPr>
          <w:rFonts w:hint="eastAsia" w:ascii="仿宋" w:hAnsi="仿宋" w:eastAsia="仿宋"/>
          <w:color w:val="auto"/>
          <w:sz w:val="32"/>
          <w:szCs w:val="32"/>
        </w:rPr>
        <w:t>学制技师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试点</w:t>
      </w:r>
      <w:r>
        <w:rPr>
          <w:rFonts w:hint="eastAsia" w:ascii="仿宋" w:hAnsi="仿宋" w:eastAsia="仿宋"/>
          <w:color w:val="auto"/>
          <w:sz w:val="32"/>
          <w:szCs w:val="32"/>
          <w:lang w:eastAsia="zh-CN"/>
        </w:rPr>
        <w:t>）</w:t>
      </w:r>
      <w:r>
        <w:rPr>
          <w:rFonts w:hint="eastAsia" w:ascii="仿宋" w:hAnsi="仿宋" w:eastAsia="仿宋"/>
          <w:color w:val="auto"/>
          <w:sz w:val="32"/>
          <w:szCs w:val="32"/>
        </w:rPr>
        <w:t>申报专业目录（2022年）</w:t>
      </w:r>
    </w:p>
    <w:p>
      <w:pPr>
        <w:adjustRightInd w:val="0"/>
        <w:snapToGrid w:val="0"/>
        <w:spacing w:line="560" w:lineRule="exact"/>
        <w:ind w:firstLine="1600" w:firstLineChars="500"/>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eastAsia="zh-CN"/>
        </w:rPr>
        <w:t>广东省</w:t>
      </w:r>
      <w:r>
        <w:rPr>
          <w:rFonts w:hint="eastAsia" w:ascii="仿宋" w:hAnsi="仿宋" w:eastAsia="仿宋"/>
          <w:color w:val="auto"/>
          <w:sz w:val="32"/>
          <w:szCs w:val="32"/>
        </w:rPr>
        <w:t>学制技师</w:t>
      </w:r>
      <w:r>
        <w:rPr>
          <w:rFonts w:hint="eastAsia" w:ascii="仿宋" w:hAnsi="仿宋" w:eastAsia="仿宋"/>
          <w:color w:val="auto"/>
          <w:sz w:val="32"/>
          <w:szCs w:val="32"/>
          <w:lang w:eastAsia="zh-CN"/>
        </w:rPr>
        <w:t>（试点）</w:t>
      </w:r>
      <w:r>
        <w:rPr>
          <w:rFonts w:hint="eastAsia" w:ascii="仿宋" w:hAnsi="仿宋" w:eastAsia="仿宋"/>
          <w:color w:val="auto"/>
          <w:sz w:val="32"/>
          <w:szCs w:val="32"/>
        </w:rPr>
        <w:t>参考性评价体系</w:t>
      </w:r>
    </w:p>
    <w:p>
      <w:pPr>
        <w:adjustRightInd w:val="0"/>
        <w:snapToGrid w:val="0"/>
        <w:spacing w:line="560" w:lineRule="exact"/>
        <w:ind w:firstLine="1600" w:firstLineChars="5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5.广东省学制技师（试点）申报表</w:t>
      </w: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p>
    <w:p>
      <w:pPr>
        <w:adjustRightInd w:val="0"/>
        <w:snapToGrid w:val="0"/>
        <w:spacing w:line="560" w:lineRule="exact"/>
        <w:ind w:firstLine="640" w:firstLineChars="200"/>
        <w:jc w:val="right"/>
        <w:rPr>
          <w:rFonts w:ascii="仿宋_GB2312" w:hAnsi="仿宋"/>
          <w:color w:val="auto"/>
          <w:sz w:val="32"/>
          <w:szCs w:val="32"/>
        </w:rPr>
      </w:pPr>
      <w:r>
        <w:rPr>
          <w:rFonts w:ascii="仿宋_GB2312" w:hAnsi="仿宋"/>
          <w:color w:val="auto"/>
          <w:sz w:val="32"/>
          <w:szCs w:val="32"/>
        </w:rPr>
        <w:t xml:space="preserve"> </w:t>
      </w:r>
    </w:p>
    <w:p>
      <w:pPr>
        <w:adjustRightInd w:val="0"/>
        <w:snapToGrid w:val="0"/>
        <w:spacing w:line="560" w:lineRule="exact"/>
        <w:ind w:firstLine="640" w:firstLineChars="200"/>
        <w:jc w:val="right"/>
        <w:rPr>
          <w:rFonts w:ascii="仿宋" w:hAnsi="仿宋" w:eastAsia="仿宋"/>
          <w:color w:val="auto"/>
          <w:sz w:val="32"/>
          <w:szCs w:val="32"/>
        </w:rPr>
      </w:pPr>
      <w:r>
        <w:rPr>
          <w:rFonts w:ascii="仿宋" w:hAnsi="仿宋" w:eastAsia="仿宋"/>
          <w:color w:val="auto"/>
          <w:sz w:val="32"/>
          <w:szCs w:val="32"/>
        </w:rPr>
        <w:t>广东省人力资源和社会保障厅</w:t>
      </w:r>
    </w:p>
    <w:p>
      <w:pPr>
        <w:adjustRightInd w:val="0"/>
        <w:snapToGrid w:val="0"/>
        <w:spacing w:line="560" w:lineRule="exact"/>
        <w:ind w:firstLine="640" w:firstLineChars="200"/>
        <w:jc w:val="center"/>
        <w:rPr>
          <w:rFonts w:ascii="仿宋" w:hAnsi="仿宋" w:eastAsia="仿宋"/>
          <w:color w:val="auto"/>
          <w:sz w:val="32"/>
          <w:szCs w:val="32"/>
        </w:rPr>
      </w:pPr>
      <w:r>
        <w:rPr>
          <w:rFonts w:ascii="仿宋" w:hAnsi="仿宋" w:eastAsia="仿宋"/>
          <w:color w:val="auto"/>
          <w:sz w:val="32"/>
          <w:szCs w:val="32"/>
        </w:rPr>
        <w:t xml:space="preserve">                      2022年</w:t>
      </w:r>
      <w:r>
        <w:rPr>
          <w:rFonts w:hint="eastAsia" w:ascii="仿宋" w:hAnsi="仿宋" w:eastAsia="仿宋"/>
          <w:color w:val="auto"/>
          <w:sz w:val="32"/>
          <w:szCs w:val="32"/>
          <w:lang w:val="en-US" w:eastAsia="zh-CN"/>
        </w:rPr>
        <w:t>10</w:t>
      </w:r>
      <w:r>
        <w:rPr>
          <w:rFonts w:ascii="仿宋" w:hAnsi="仿宋" w:eastAsia="仿宋"/>
          <w:color w:val="auto"/>
          <w:sz w:val="32"/>
          <w:szCs w:val="32"/>
        </w:rPr>
        <w:t>月 日</w:t>
      </w:r>
    </w:p>
    <w:p>
      <w:pPr>
        <w:spacing w:line="560" w:lineRule="exact"/>
        <w:ind w:firstLine="2240" w:firstLineChars="700"/>
        <w:jc w:val="left"/>
        <w:rPr>
          <w:rFonts w:hint="eastAsia" w:ascii="仿宋" w:hAnsi="仿宋" w:eastAsia="仿宋"/>
          <w:color w:val="auto"/>
          <w:sz w:val="32"/>
          <w:szCs w:val="32"/>
        </w:rPr>
      </w:pPr>
    </w:p>
    <w:p>
      <w:pPr>
        <w:spacing w:line="560" w:lineRule="exact"/>
        <w:ind w:firstLine="2240" w:firstLineChars="700"/>
        <w:jc w:val="left"/>
        <w:rPr>
          <w:rFonts w:hint="eastAsia" w:ascii="仿宋" w:hAnsi="仿宋" w:eastAsia="仿宋"/>
          <w:color w:val="auto"/>
          <w:sz w:val="32"/>
          <w:szCs w:val="32"/>
        </w:rPr>
      </w:pPr>
    </w:p>
    <w:p>
      <w:pPr>
        <w:spacing w:line="560" w:lineRule="exact"/>
        <w:ind w:firstLine="2240" w:firstLineChars="700"/>
        <w:jc w:val="left"/>
        <w:rPr>
          <w:rFonts w:ascii="仿宋" w:hAnsi="仿宋" w:eastAsia="仿宋"/>
          <w:color w:val="auto"/>
          <w:sz w:val="32"/>
          <w:szCs w:val="32"/>
        </w:rPr>
      </w:pPr>
      <w:r>
        <w:rPr>
          <w:rFonts w:hint="eastAsia" w:ascii="仿宋" w:hAnsi="仿宋" w:eastAsia="仿宋"/>
          <w:color w:val="auto"/>
          <w:sz w:val="32"/>
          <w:szCs w:val="32"/>
        </w:rPr>
        <w:t>（联系人：房磊 020-83398403）</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122"/>
    <w:multiLevelType w:val="multilevel"/>
    <w:tmpl w:val="2C283122"/>
    <w:lvl w:ilvl="0" w:tentative="0">
      <w:start w:val="1"/>
      <w:numFmt w:val="chineseCounting"/>
      <w:suff w:val="nothing"/>
      <w:lvlText w:val="%1、"/>
      <w:lvlJc w:val="left"/>
      <w:pPr>
        <w:ind w:left="0" w:firstLine="0"/>
      </w:pPr>
      <w:rPr>
        <w:rFonts w:hint="eastAsia" w:ascii="黑体" w:hAnsi="黑体" w:eastAsia="黑体" w:cs="黑体"/>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YjUwNWNiZDYzOGRiMWNiOWY3YjU3ODE3YTZhYmUifQ=="/>
  </w:docVars>
  <w:rsids>
    <w:rsidRoot w:val="00172A27"/>
    <w:rsid w:val="0008573C"/>
    <w:rsid w:val="00582069"/>
    <w:rsid w:val="00774265"/>
    <w:rsid w:val="0086009C"/>
    <w:rsid w:val="00C642B9"/>
    <w:rsid w:val="03C97B2C"/>
    <w:rsid w:val="08862EE3"/>
    <w:rsid w:val="0B117E71"/>
    <w:rsid w:val="1E3457B9"/>
    <w:rsid w:val="1E5719B6"/>
    <w:rsid w:val="1E83209E"/>
    <w:rsid w:val="282C1900"/>
    <w:rsid w:val="2CE22A73"/>
    <w:rsid w:val="33787F55"/>
    <w:rsid w:val="33C16BBB"/>
    <w:rsid w:val="38B54FF1"/>
    <w:rsid w:val="3FA05DE3"/>
    <w:rsid w:val="3FE877AF"/>
    <w:rsid w:val="42035E10"/>
    <w:rsid w:val="42D604E6"/>
    <w:rsid w:val="42EE1688"/>
    <w:rsid w:val="454C0DE2"/>
    <w:rsid w:val="4A3A0817"/>
    <w:rsid w:val="4AF45159"/>
    <w:rsid w:val="4D4954E2"/>
    <w:rsid w:val="4F6A7A4F"/>
    <w:rsid w:val="514F370E"/>
    <w:rsid w:val="52047747"/>
    <w:rsid w:val="53540020"/>
    <w:rsid w:val="551D20C7"/>
    <w:rsid w:val="5F7E4FAD"/>
    <w:rsid w:val="62D2749E"/>
    <w:rsid w:val="6FF40CAB"/>
    <w:rsid w:val="71FE4F41"/>
    <w:rsid w:val="7A945F27"/>
    <w:rsid w:val="7CEB5213"/>
    <w:rsid w:val="7F96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0"/>
    <w:qFormat/>
    <w:uiPriority w:val="99"/>
    <w:pPr>
      <w:spacing w:before="100" w:beforeAutospacing="1" w:after="100" w:afterAutospacing="1"/>
      <w:jc w:val="left"/>
      <w:outlineLvl w:val="0"/>
    </w:pPr>
    <w:rPr>
      <w:rFonts w:ascii="宋体" w:hAnsi="宋体"/>
      <w:b/>
      <w:bCs/>
      <w:kern w:val="44"/>
      <w:sz w:val="48"/>
      <w:szCs w:val="48"/>
    </w:rPr>
  </w:style>
  <w:style w:type="paragraph" w:styleId="3">
    <w:name w:val="heading 2"/>
    <w:basedOn w:val="1"/>
    <w:next w:val="1"/>
    <w:link w:val="11"/>
    <w:qFormat/>
    <w:uiPriority w:val="99"/>
    <w:pPr>
      <w:keepNext/>
      <w:keepLines/>
      <w:spacing w:before="260" w:after="260" w:line="415" w:lineRule="auto"/>
      <w:outlineLvl w:val="1"/>
    </w:pPr>
    <w:rPr>
      <w:rFonts w:ascii="Calibri Light" w:hAnsi="Calibri Light"/>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unhideWhenUsed/>
    <w:qFormat/>
    <w:uiPriority w:val="99"/>
    <w:pPr>
      <w:ind w:left="800" w:leftChars="800"/>
    </w:pPr>
  </w:style>
  <w:style w:type="paragraph" w:styleId="5">
    <w:name w:val="footer"/>
    <w:basedOn w:val="1"/>
    <w:next w:val="4"/>
    <w:link w:val="12"/>
    <w:unhideWhenUsed/>
    <w:qFormat/>
    <w:uiPriority w:val="99"/>
    <w:pPr>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semiHidden/>
    <w:unhideWhenUsed/>
    <w:qFormat/>
    <w:uiPriority w:val="99"/>
    <w:pPr>
      <w:snapToGrid w:val="0"/>
      <w:jc w:val="left"/>
    </w:pPr>
    <w:rPr>
      <w:sz w:val="18"/>
      <w:szCs w:val="18"/>
    </w:rPr>
  </w:style>
  <w:style w:type="character" w:customStyle="1" w:styleId="10">
    <w:name w:val="标题 1 Char"/>
    <w:basedOn w:val="9"/>
    <w:link w:val="2"/>
    <w:qFormat/>
    <w:uiPriority w:val="99"/>
    <w:rPr>
      <w:rFonts w:ascii="宋体" w:hAnsi="宋体" w:eastAsia="宋体" w:cs="Times New Roman"/>
      <w:b/>
      <w:bCs/>
      <w:kern w:val="44"/>
      <w:sz w:val="48"/>
      <w:szCs w:val="48"/>
    </w:rPr>
  </w:style>
  <w:style w:type="character" w:customStyle="1" w:styleId="11">
    <w:name w:val="标题 2 Char"/>
    <w:basedOn w:val="9"/>
    <w:link w:val="3"/>
    <w:qFormat/>
    <w:uiPriority w:val="99"/>
    <w:rPr>
      <w:rFonts w:ascii="Calibri Light" w:hAnsi="Calibri Light" w:eastAsia="宋体" w:cs="Times New Roman"/>
      <w:b/>
      <w:bCs/>
      <w:sz w:val="32"/>
      <w:szCs w:val="32"/>
    </w:rPr>
  </w:style>
  <w:style w:type="character" w:customStyle="1" w:styleId="12">
    <w:name w:val="页脚 Char"/>
    <w:basedOn w:val="9"/>
    <w:link w:val="5"/>
    <w:qFormat/>
    <w:uiPriority w:val="99"/>
    <w:rPr>
      <w:rFonts w:ascii="Calibri" w:hAnsi="Calibri" w:eastAsia="宋体" w:cs="Times New Roman"/>
      <w:sz w:val="18"/>
      <w:szCs w:val="18"/>
    </w:rPr>
  </w:style>
  <w:style w:type="character" w:customStyle="1" w:styleId="13">
    <w:name w:val="脚注文本 Char"/>
    <w:basedOn w:val="9"/>
    <w:link w:val="7"/>
    <w:semiHidden/>
    <w:qFormat/>
    <w:uiPriority w:val="99"/>
    <w:rPr>
      <w:rFonts w:ascii="Calibri" w:hAnsi="Calibri" w:eastAsia="宋体" w:cs="Times New Roman"/>
      <w:sz w:val="18"/>
      <w:szCs w:val="18"/>
    </w:rPr>
  </w:style>
  <w:style w:type="character" w:customStyle="1" w:styleId="14">
    <w:name w:val="页眉 Char"/>
    <w:basedOn w:val="9"/>
    <w:link w:val="6"/>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3152</Words>
  <Characters>3186</Characters>
  <Lines>23</Lines>
  <Paragraphs>6</Paragraphs>
  <TotalTime>43</TotalTime>
  <ScaleCrop>false</ScaleCrop>
  <LinksUpToDate>false</LinksUpToDate>
  <CharactersWithSpaces>3224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2022-07-12T06:44:00Z</dcterms:created>
  <dc:creator>hp</dc:creator>
  <cp:lastModifiedBy>lenovo</cp:lastModifiedBy>
  <cp:lastPrinted>2022-09-19T09:27:00Z</cp:lastPrinted>
  <dcterms:modified xsi:type="dcterms:W3CDTF">2022-10-10T09:27:48Z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59D42F9D66014D589D0E9BD9C695CE01</vt:lpwstr>
  </property>
  <property fmtid="{D5CDD505-2E9C-101B-9397-08002B2CF9AE}" pid="4" name="showFlag">
    <vt:bool>false</vt:bool>
  </property>
</Properties>
</file>