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方正小标宋简体" w:eastAsia="方正小标宋简体"/>
          <w:color w:val="FF0000"/>
          <w:w w:val="66"/>
          <w:sz w:val="88"/>
          <w:szCs w:val="88"/>
        </w:rPr>
      </w:pPr>
      <w:r>
        <w:rPr>
          <w:rFonts w:hint="eastAsia" w:ascii="方正小标宋简体" w:eastAsia="方正小标宋简体"/>
          <w:color w:val="FF0000"/>
          <w:w w:val="66"/>
          <w:sz w:val="88"/>
          <w:szCs w:val="88"/>
        </w:rPr>
        <w:t>广东省人力资源和社会保障厅文件</w:t>
      </w:r>
    </w:p>
    <w:p>
      <w:pPr>
        <w:pBdr>
          <w:bottom w:val="single" w:color="FF0000" w:sz="18" w:space="1"/>
        </w:pBdr>
        <w:spacing w:before="0" w:beforeLines="0"/>
        <w:ind w:leftChars="0" w:rightChars="0" w:firstLineChars="0"/>
        <w:jc w:val="center"/>
      </w:pPr>
    </w:p>
    <w:p>
      <w:pPr>
        <w:pBdr>
          <w:bottom w:val="single" w:color="FF0000" w:sz="18" w:space="1"/>
        </w:pBdr>
        <w:spacing w:before="0" w:beforeLines="0"/>
        <w:ind w:leftChars="0" w:rightChars="0" w:firstLineChars="0"/>
        <w:jc w:val="center"/>
      </w:pPr>
      <w:r>
        <w:t>粤人社</w:t>
      </w:r>
      <w:r>
        <w:rPr>
          <w:rFonts w:hint="eastAsia"/>
          <w:lang w:eastAsia="zh-CN"/>
        </w:rPr>
        <w:t>规</w:t>
      </w:r>
      <w:r>
        <w:t>〔20</w:t>
      </w:r>
      <w:r>
        <w:rPr>
          <w:rFonts w:hint="eastAsia"/>
          <w:lang w:val="en-US" w:eastAsia="zh-CN"/>
        </w:rPr>
        <w:t>22</w:t>
      </w:r>
      <w:r>
        <w:t>〕</w:t>
      </w:r>
      <w:r>
        <w:rPr>
          <w:rFonts w:hint="eastAsia"/>
          <w:lang w:val="en-US" w:eastAsia="zh-CN"/>
        </w:rPr>
        <w:t>12</w:t>
      </w:r>
      <w:r>
        <w:t>号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val="en-US" w:eastAsia="zh-CN"/>
        </w:rPr>
        <w:t>广东省人力资源和社会保障厅关于印发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  <w:t>广东省职业技能竞赛管理办法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  <w:lang w:val="en-US" w:eastAsia="zh-CN"/>
        </w:rPr>
        <w:t>的通知</w:t>
      </w:r>
    </w:p>
    <w:p>
      <w:pPr>
        <w:pStyle w:val="2"/>
        <w:snapToGrid/>
        <w:spacing w:line="540" w:lineRule="exact"/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各地级以上市人力资源和社会保障局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各有关单位：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为深入贯彻习近平总书记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技能人才工作的重要指示精神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规范全省职业技能竞赛活动，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我省职业技能竞赛体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高技能人才培养选拔机制，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加强高技能人才队伍建设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，我厅制定了《广东省职业技能竞赛管理办法》，现印发给你们，请遵照执行。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476" w:firstLineChars="11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广东省人力资源和社会保障厅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424" w:firstLineChars="14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2022年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28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  <w:t>广东省职业技能竞赛管理办法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为深入贯彻习近平总书记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技能人才工作的重要指示精神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规范全省职业技能竞赛活动，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我省职业技能竞赛体系，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高技能人才培养选拔机制，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加强高技能人才队伍建设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u w:val="none"/>
        </w:rPr>
        <w:t>根据《</w:t>
      </w:r>
      <w:r>
        <w:rPr>
          <w:rFonts w:hint="default" w:ascii="Times New Roman" w:hAnsi="Times New Roman" w:cs="Times New Roman"/>
          <w:snapToGrid w:val="0"/>
          <w:color w:val="000000"/>
          <w:szCs w:val="32"/>
          <w:u w:val="none"/>
        </w:rPr>
        <w:t>中华人民共和国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职业教育法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u w:val="none"/>
        </w:rPr>
        <w:t>》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val="en-US" w:eastAsia="zh-CN"/>
        </w:rPr>
        <w:t>中共广东省委办公厅 广东省人民政府办公厅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关于印发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val="en-US" w:eastAsia="zh-CN"/>
        </w:rPr>
        <w:t>&lt;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新时期产业工人队伍建设改革实施方案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val="en-US" w:eastAsia="zh-CN"/>
        </w:rPr>
        <w:t>&gt;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等三个文件的通知》（粤办发〔2018〕56号）以及人力资源社会保障部</w:t>
      </w:r>
      <w:r>
        <w:rPr>
          <w:rFonts w:hint="eastAsia" w:ascii="Times New Roman" w:hAnsi="Times New Roman" w:cs="Times New Roman"/>
          <w:snapToGrid w:val="0"/>
          <w:color w:val="000000"/>
          <w:sz w:val="32"/>
          <w:szCs w:val="32"/>
          <w:u w:val="none"/>
          <w:lang w:val="en-US" w:eastAsia="zh-CN"/>
        </w:rPr>
        <w:t>关于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eastAsia="zh-CN"/>
        </w:rPr>
        <w:t>职业技能竞赛管理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u w:val="none"/>
          <w:lang w:val="en-US" w:eastAsia="zh-CN"/>
        </w:rPr>
        <w:t>等有关规定</w:t>
      </w:r>
      <w:r>
        <w:rPr>
          <w:rFonts w:hint="default" w:ascii="Times New Roman" w:hAnsi="Times New Roman" w:cs="Times New Roman"/>
          <w:snapToGrid w:val="0"/>
          <w:color w:val="000000"/>
          <w:sz w:val="32"/>
          <w:szCs w:val="32"/>
          <w:lang w:val="en-US" w:eastAsia="zh-CN"/>
        </w:rPr>
        <w:t>，结合我省实际，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b/>
          <w:bCs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本办法所称职业技能竞赛是指依据国家职业技能标准、行业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企业评价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规范，根据社会经济对高技能人才的需求，结合生产和服务工作实际，有组织开展的以考核操作技能为主要内容的群众性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同场竞技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本办法适用于人力资源社会保障部门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包括行政部门、竞赛业务指导部门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下同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主办、参与主办及统筹管理的各级各类职业技能竞赛。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努力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构建以世界技能大赛为引领、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中华人民共和国职业技能大赛（以下简称全国技能大赛）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为龙头、全省职业技能大赛为主体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、行业企业及院校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职业技能竞赛为基础的职业技能竞赛体系，搭建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技能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、切磋技艺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平台，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为优秀高技能人才脱颖而出创造条件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职业技能竞赛要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大力弘扬劳模精神、劳动精神、工匠精神，以赛促学、以赛促培、以赛促训，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突出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技能水平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切磋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比拼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广大技能劳动者在理论与实践相结合中提高专业素养、提升实操能力，推动技能人才队伍建设。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职业技能竞赛要坚持公开、公平、公正的原则，积极对标世界技能大赛、全国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职业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技能大赛，借鉴吸收先进理念和经验做法，提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水平和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质量，提升竞赛科学化、规范化、专业化水平。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各级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人力资源社会保障行政部门为职业技能竞赛主管部门。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各级职业技能服务（鉴定）指导中心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负责职业技能竞赛技术支持指导。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 xml:space="preserve">第二章 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竞赛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职业技能竞赛实行分级分类管理。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全省职业技能竞赛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级竞赛、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级竞赛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层级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级竞赛分为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全省职业技能大赛和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</w:rPr>
        <w:t>行业企业职业技能竞赛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省级竞赛。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全省职业技能大赛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是指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经省人民政府批准，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由省人力资源社会保障部门统筹实施的职业技能竞赛活动，冠名“广东省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届职业技能大赛”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属于省级一类竞赛类别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。全省职业技能大赛与世界技能大赛、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全国技能大赛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相衔接，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承担世界技能大赛和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全国技能大赛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省选拔赛功能，赛项可结合我省实际设置。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全省行业企业职业技能竞赛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分为省级一类竞赛和省级二类竞赛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两个类别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。原则上每年举办一次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可冠以“××年广东省（××行业或系统）××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”等活动名称。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省级一类职业技能竞赛是指跨行业（系统）、跨地区通用职业（工种）的全省性重要综合性赛事，由省人力资源社会保障部门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举办或联合省直有关部门（单位）共同举办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省级二类职业技能竞赛是指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单一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行业（系统）特有职业（工种）或通用职业（工种）的竞赛，由省级行业（系统）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省属企事业单位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或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协会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、省属职业技能培训机构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等牵头组织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spacing w:beforeLines="0" w:afterLines="0" w:line="580" w:lineRule="exact"/>
        <w:ind w:firstLine="632" w:firstLineChars="200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3.国家级职业技能赛事省选拔赛类别，参照人力资源社会保障部公布的竞赛计划执行，鼓励与上述两项赛事合并举行。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市级竞赛。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市级竞赛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地市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行政区域内的职业技能竞赛活动，竞赛周期和组织实施由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各地市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自行确定。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各地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级以上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市应当积极建立完善本地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职业技能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竞赛体系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tabs>
          <w:tab w:val="center" w:pos="4153"/>
          <w:tab w:val="right" w:pos="8306"/>
        </w:tabs>
        <w:snapToGrid/>
        <w:spacing w:beforeLines="0" w:afterLines="0" w:line="580" w:lineRule="exact"/>
        <w:ind w:firstLine="632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企业岗位练兵是开展职业技能竞赛的基础和重要组成部分。鼓励广大企业自主开展形式多样的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岗位练兵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技术比武活动，积极参与省级、市级职业技能竞赛活动，以赛练兵、以赛选才。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0" w:firstLine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 xml:space="preserve">章 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申报计划</w:t>
      </w:r>
    </w:p>
    <w:p>
      <w:pPr>
        <w:pStyle w:val="2"/>
        <w:snapToGrid/>
        <w:spacing w:beforeLines="0" w:afterLines="0" w:line="58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全省职业技能竞赛实行年度计划制度，履行申报、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布等程序。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u w:val="none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申请举办行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职业技能竞赛的主办单位或承办单位，应具备下列基本条件：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（一）能够独立承担民事责任；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（二）具备相应的组织机构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组织管理能力；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（三）具备办赛必要的经费、设施设备、场地和评定成绩所需的检测手段；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（四）有完善的竞赛组织实施方案、竞赛规则、技术规程；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熟悉技能竞赛职业（工种）的管理人员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项目专家和专业技术技能人员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tabs>
          <w:tab w:val="center" w:pos="4153"/>
          <w:tab w:val="right" w:pos="8306"/>
        </w:tabs>
        <w:spacing w:beforeLines="0" w:afterLines="0" w:line="580" w:lineRule="exact"/>
        <w:ind w:firstLine="632" w:firstLineChars="20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（六）有完善的赛务、安全、环保、卫生、防疫等保障措施。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u w:val="none"/>
          <w:lang w:val="en-US" w:eastAsia="zh-CN" w:bidi="ar"/>
        </w:rPr>
        <w:t>第十四条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年度计划。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计划申报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省级一类二类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竞赛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原则上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省直有关部门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中央驻粤有关单位、省属企事业单位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省级行业协会等社团组织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省属职业技能培训机构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于每年年底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向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人力资源社会保障部门提交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下年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度竞赛计划申请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（附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，明确竞赛职业（工种）、竞赛标准、规模及举办时间、联系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信息等事项。</w:t>
      </w:r>
    </w:p>
    <w:p>
      <w:p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（二）计划发布。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人力资源社会保障部门根据申报情况，统筹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遴选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赛事安排和项目设置，公布职业技能竞赛年度计划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赛前报备。竞赛主办单位须于竞赛启动前1个月向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人力资源社会保障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</w:rPr>
        <w:t>竞赛组织方案等有关文件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u w:val="none"/>
          <w:lang w:eastAsia="zh-CN"/>
        </w:rPr>
        <w:t>。</w:t>
      </w:r>
    </w:p>
    <w:p>
      <w:pPr>
        <w:numPr>
          <w:ilvl w:val="0"/>
          <w:numId w:val="0"/>
        </w:numPr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（四）有关要求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竞赛主办单位要落实办赛主体责任，除省直部门联合举办的竞赛外，省级一类二类竞赛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每项赛事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主办单位原则上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不多于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一个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省级一类竞赛原则上不超过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项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每项竞赛设置职业（工种）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原则上不超过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个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控制竞赛频次，相同名称的行业竞赛项目原则上隔年举办一次，同一年度同一职业（工种）原则上不重复举办。</w:t>
      </w:r>
      <w:r>
        <w:rPr>
          <w:rFonts w:hint="default" w:ascii="Times New Roman" w:hAnsi="Times New Roman" w:cs="Times New Roman"/>
          <w:spacing w:val="-6"/>
          <w:kern w:val="0"/>
          <w:sz w:val="32"/>
          <w:szCs w:val="32"/>
          <w:highlight w:val="none"/>
          <w:u w:val="none"/>
          <w:lang w:val="en-US" w:eastAsia="zh-CN" w:bidi="ar"/>
        </w:rPr>
        <w:t>纳入省级计划的竞赛应在当年举办，逾期自动失效。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第十五条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省级职业技能竞赛要面向全省公开接受报名，确保竞赛规模和参赛面。未按要求面向全省公开举办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并接受报名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的，其优胜者不列入“广东省技术能手”称号审核范围。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 xml:space="preserve">第十六条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职业技能竞赛年度计划公布后，主办单位不得随意取消、变更职业技能竞赛活动。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由于特殊原因确需取消或变更的，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应提前向人力资源社会保障部门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报备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并经同意，同时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好善后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处置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章 组织实施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bidi="ar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 w:bidi="ar"/>
        </w:rPr>
        <w:t>十七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bidi="ar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</w:rPr>
        <w:t>职业技能竞赛活动实行主办单位负责制。主办单位对竞赛全过程履行主体责任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/>
        </w:rPr>
        <w:t>可根据实际遴选承办单位</w:t>
      </w:r>
      <w:r>
        <w:rPr>
          <w:rFonts w:hint="default" w:ascii="Times New Roman" w:hAnsi="Times New Roman" w:cs="Times New Roman"/>
          <w:kern w:val="2"/>
          <w:sz w:val="32"/>
          <w:szCs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/>
        </w:rPr>
        <w:t>协办单位。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</w:rPr>
        <w:t>承办单位负责赛事筹备、实施及各项保障工作。协办单位为职业技能竞赛提供场地、技术、物资、人员等支持。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职业技能竞赛主办单位应牵头成立赛事组织委员会，根据需要可设置综合协调、技术、赛务、活动、宣传、监督仲裁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安全和卫生防疫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等工作的专门机构，明确职责分工、协同合作。承办单位应牵头成立赛事执行委员会，负责竞赛的具体组织实施。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大赛结束后，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赛事组织委员会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执行委员会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职能自行终止。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第十九条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职业技能竞赛主办单位、承办单位和协办单位应当根据需要做好以下筹备工作：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制定竞赛组织工作方案，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印发职业技能竞赛通知，部署推动竞赛整体工作；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（二）编制技术工作文件、命制试题；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（三）配备竞赛场地、设施设备、工具材料等；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（四）配备裁判人员、技术人员和赛务保障人员等；</w:t>
      </w:r>
    </w:p>
    <w:p>
      <w:pPr>
        <w:widowControl w:val="0"/>
        <w:adjustRightInd/>
        <w:snapToGrid/>
        <w:spacing w:beforeLines="0" w:afterLines="0" w:line="580" w:lineRule="exact"/>
        <w:ind w:firstLine="632" w:firstLineChars="200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（五）落实医疗、卫生、食宿、交通、安保等相关措施。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第二十条 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竞赛工种原则上为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已列入《中华人民共和国职业分类大典》以及之后由国家公布的新职业（工种）。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鼓励主办单位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围绕世界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技能大赛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和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全国技能大赛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，紧贴我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产业发展需求的关键技术技能岗位，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选择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0"/>
          <w:sz w:val="32"/>
          <w:szCs w:val="32"/>
          <w:highlight w:val="none"/>
          <w:u w:val="none"/>
          <w:shd w:val="clear" w:color="auto" w:fill="auto"/>
          <w:lang w:bidi="ar"/>
        </w:rPr>
        <w:t>技术含量高、从业人员多、影响面较大、发展较迅速的职业（工种）或在本行业具有代表前沿技术的标志性职业（工种）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设置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比赛项目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第二十一条 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竞赛原则上按照国家职业技能标准组织命题，并适当增加新知识、新技术、新工艺和新技能等方面的内容。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无对应国家职业技能标准的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Hans"/>
        </w:rPr>
        <w:t>竞赛项目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参照行业企业评价规范确定竞赛标准。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竞赛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Hans" w:bidi="ar"/>
        </w:rPr>
        <w:t>按照国家职业技能标准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编制技术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Hans"/>
        </w:rPr>
        <w:t>工作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文件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Hans"/>
        </w:rPr>
        <w:t>和命制试题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Hans" w:bidi="ar"/>
        </w:rPr>
        <w:t>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u w:val="none"/>
          <w:lang w:eastAsia="zh-Hans" w:bidi="ar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Hans" w:bidi="ar"/>
        </w:rPr>
        <w:t>原则上应按照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Hans"/>
        </w:rPr>
        <w:t>三级/高级工及以上相关要求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竞赛内容应涵盖理论知识和操作技能部分，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Hans" w:bidi="ar"/>
        </w:rPr>
        <w:t>可不单独设置理论知识考试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eastAsia="zh-Hans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Hans" w:bidi="ar"/>
        </w:rPr>
        <w:t>但需将其融入操作技能中进行考核</w:t>
      </w:r>
      <w:r>
        <w:rPr>
          <w:rFonts w:hint="default" w:ascii="Times New Roman" w:hAnsi="Times New Roman" w:cs="Times New Roman"/>
          <w:color w:val="000000"/>
          <w:spacing w:val="-6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Hans" w:bidi="ar"/>
        </w:rPr>
        <w:t>操作技能成绩权重原则上不低于70%。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国家级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职业技能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大赛省选拔赛按照国家要求执行。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职业技能竞赛主办单位应根据赛事特点，明确参赛选手报名条件，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不得限制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报名人数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全省性职业技能竞赛决赛，参赛选手可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通过初赛、复赛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形式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选拔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产生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，决赛人数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原则上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不超过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第二十四条 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报名参加省内各级各类竞赛的人员，应当</w:t>
      </w:r>
      <w:r>
        <w:rPr>
          <w:rFonts w:hint="default" w:ascii="Times New Roman" w:hAnsi="Times New Roman" w:cs="Times New Roman"/>
          <w:color w:val="auto"/>
          <w:spacing w:val="-6"/>
          <w:sz w:val="32"/>
          <w:szCs w:val="32"/>
          <w:highlight w:val="none"/>
          <w:u w:val="none"/>
          <w:lang w:val="en-US" w:eastAsia="zh-CN" w:bidi="ar"/>
        </w:rPr>
        <w:t>在我省工作、学习或居住满一年以上，年龄满16周岁以上、法定退休年龄以内。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已获得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中华技能大奖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”“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全国技术能手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等荣誉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不以选手身份参赛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已获得“广东省技术能手”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的选手，不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以选手身份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参加同一项目同一组别或更低等级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的比赛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世界技能大赛以及国家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级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职业技能大赛省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选拔赛另有规定的除外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第二十五条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业技能竞赛的组织实施流程包括开闭幕式、竞赛实施、宣传等工作环节。开闭幕式应节俭、精简，突出大赛主题特点。鼓励大赛同期开展技能展示、绝技展演、论坛研讨等配套活动；鼓励有条件的单位通过互联网平台安排赛事直播、云端观赛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宽社会公众参与渠道。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bidi="ar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 w:bidi="ar"/>
        </w:rPr>
        <w:t>二十六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bidi="ar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职业技能竞赛各单位要根据国家和当地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生产安全、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卫生防疫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以及赛项职业安全</w:t>
      </w:r>
      <w:r>
        <w:rPr>
          <w:rFonts w:hint="eastAsia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等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，严格做好赛事实施、安保、疫情防控等各项工作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确保竞赛工作安全顺利进行。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各级人力资源社会保障部门要加强竞赛工作的管理监督，切实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保障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赛事安全、竞赛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水平和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二十七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省级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职业技能竞赛结束后，主办单位应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将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竞赛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成绩公示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5个工作日，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在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公示无异议后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10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工作日内将竞赛工作总结、职业技能竞赛情况表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（附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、竞赛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获奖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选手情况表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（附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和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裁判签名确认的竞赛成绩总表报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省人力资源社会保障部门。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0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</w:rPr>
        <w:t>第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二十八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Hans" w:bidi="ar"/>
        </w:rPr>
        <w:t>倡导建立和完善竞赛资源及成果的总结、转化、推广机制。竞赛资源及成果转化应符合相关行业生产、职业技术发展、个人技能提升等方面的要求，反映先进竞赛理念，推动竞赛成果在相关领域的应用和转化。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 xml:space="preserve">章 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表扬奖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第二十九条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职业技能竞赛获得优秀名次的选手、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技术指导专家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以及在竞赛工作中表现突出的有关单位及个人，按照有关规定给予表彰奖励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对获得省级以上职业技能竞赛奖项选手和指导老师的奖励，纳入单位奖励性绩效单列管理，不计入单位绩效工资总量调控基数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adjustRightInd/>
        <w:snapToGrid/>
        <w:spacing w:beforeLines="0" w:beforeAutospacing="0" w:afterLines="0" w:afterAutospacing="0" w:line="580" w:lineRule="exact"/>
        <w:ind w:firstLine="632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第三十条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对获得世界技能大赛和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全国技能大赛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优胜奖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的我省选手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-SA"/>
        </w:rPr>
        <w:t>及技术指导专家组按规定给予物质奖励。对省内世界技能大赛中国集训基地及其技术指导专家组，培养选手获得世界技能大赛优胜奖以上的，给予相应奖励。对集训基地聘请的省外国家项目技术指导专家，培养指导广东选手获得世界技能大赛优胜奖以上的，纳入表彰奖励范围（每项目不超过2名）。</w:t>
      </w:r>
    </w:p>
    <w:p>
      <w:pPr>
        <w:pStyle w:val="4"/>
        <w:spacing w:beforeLines="0" w:beforeAutospacing="0" w:afterLines="0" w:afterAutospacing="0" w:line="580" w:lineRule="exact"/>
        <w:ind w:firstLine="63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第三十一条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获得世界技能大赛、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全国技能大赛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金牌选手，按相关规定，优先推荐参评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广东省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五一劳动奖章”“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广东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青年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五四奖章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广东省三八红旗手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”等</w:t>
      </w:r>
      <w:r>
        <w:rPr>
          <w:rFonts w:hint="default" w:ascii="Times New Roman" w:hAnsi="Times New Roman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各级各类表彰奖励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eastAsia="zh-CN" w:bidi="ar"/>
        </w:rPr>
        <w:t>由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highlight w:val="none"/>
          <w:u w:val="none"/>
          <w:shd w:val="clear" w:color="auto" w:fill="auto"/>
          <w:lang w:bidi="ar"/>
        </w:rPr>
        <w:t>相关部门核准后颁发相应证书和奖章。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第三十二条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全省职业技能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赛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 w:bidi="ar"/>
        </w:rPr>
        <w:t>每赛项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可设置金、银、铜牌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原则上金牌1人（队）、银牌1人（队）、铜牌1人（队）；参加决赛人数在60人（含60人）以上的，原则上可按1:2:3的比例分设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一二三等奖，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获奖人数占比不超过决赛总人数的20%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；对未获得上述奖项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 w:bidi="ar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在参赛总人数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0%以内的选手可颁发优胜奖。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参赛人数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少的赛项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 w:bidi="ar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设奖比例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可据实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核减。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bidi="ar"/>
        </w:rPr>
        <w:t>做出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突出贡献的专家、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bidi="ar"/>
        </w:rPr>
        <w:t>裁判员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工作人员、技术支持单位、实施保障单位以及获奖选手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指导教师或教练可颁发荣誉证书。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第三十三条 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对获得省级竞赛以下名次的职工选手，经核准后，授予“广东省技术能手”称号，颁发荣誉证书。称号不重复授予。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（一）参加决赛人数（职工选手人数，下同）在60人以上（含60人）的省级一类竞赛前4名（团体赛前2名），二类竞赛（含未纳入省级一类计划的国家级职业技能竞赛省选拔赛，下同）前2名（团体赛第1名）；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（二）参加决赛人数在40至59人之间的省级一类竞赛前2名（团体赛第1名），二类竞赛第1名；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（三）参加决赛人数在20至39人之间的省级一类、二类竞赛第1名。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举办中级（含中级）以下职业标准的竞赛和学生类的竞赛，不授予“广东省技术能手”称号。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第三十四条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对纳入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职业技能竞赛计划的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获得竞赛优胜奖及以上名次的选手，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人力资源社会保障部门按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有关要求组织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核发相应职业（工种）的职业资格证书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职业技能等级证书。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相同职业（工种）、级别的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职业资格证书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职业技能等级证书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不重复颁发。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第三十五条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以国家职业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技能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标准三级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为竞赛标准，原已取得三级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职业资格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（职业技能等级）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获“广东省技术能手”称号的选手，可晋升为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二级/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技师。以国家职业</w:t>
      </w:r>
      <w:r>
        <w:rPr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技能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二级/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技师为竞赛标准，原已取得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二级/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技师职业资格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获“广东省技术能手”称号的选手，可晋升为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一级/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高级技师。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第三十六条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各地、各单位完善竞赛激励政策，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建立和完善参与竞赛工作的教练、专家、选手、专职工作人员等人才专业化培养和发展机制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bidi="ar"/>
        </w:rPr>
        <w:t>对竞赛获奖选手以及在选手培养、竞赛组织实施中作出突出贡献的单位和个人按照规定给予表彰奖励。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 xml:space="preserve">第六章 </w:t>
      </w: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第三十七条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</w:rPr>
        <w:t>职业技能竞赛资金由主办、承办及协办等单位自筹解决。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举办职业技能竞赛应当厉行节约，严格控制活动规模和开支。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</w:rPr>
        <w:t>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省人力资源社会保障部门牵头举办的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eastAsia="zh-CN"/>
        </w:rPr>
        <w:t>重点赛事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</w:rPr>
        <w:t>国家级职业技能大赛省选拔赛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</w:rPr>
        <w:t>承办单位，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可从省级及市县财政安排用于职业技能竞赛的资金中给予适当补助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职业技能竞赛主办、承办及协办单位应按规定列支办赛经费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加强职业技能竞赛经费使用管理，落实绩效评价和专项审计，强化监督管理，提高资金使用绩效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鼓励在不影响竞赛公平公正的情况下，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按规定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开展职业技能竞赛社会赞助工作。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lang w:eastAsia="zh-Hans"/>
        </w:rPr>
        <w:t>各级各类职业技能竞赛不得向选手、参赛单位收取参赛费用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lang w:eastAsia="zh-CN"/>
        </w:rPr>
        <w:t>，不得借竞赛之名从事相关营利活动。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第三十九条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各地承办的重要赛事，可根据实际向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当地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财政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申请相关工作经费，规范资金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有效使用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，接受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  <w:t>有关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部门的审计监督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u w:val="none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vertAlign w:val="baseline"/>
          <w:lang w:val="en-US" w:eastAsia="zh-CN" w:bidi="ar"/>
        </w:rPr>
        <w:t xml:space="preserve">第四十条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竞赛工作经费可用于竞赛所需的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设施、仪器耗材购置及租赁、竞赛场地改造、专家教练裁判聘请、赛事管理人员工作补贴、教练选手生活补助、集训拉练、赛事组织实施、奖金及与赛事相关的其他开支。同一承办单位承担多个项目选拔、集训的，经费可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按规定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统筹使用。</w:t>
      </w:r>
    </w:p>
    <w:p>
      <w:pPr>
        <w:tabs>
          <w:tab w:val="center" w:pos="4153"/>
          <w:tab w:val="right" w:pos="8306"/>
        </w:tabs>
        <w:spacing w:beforeLines="0" w:afterLines="0" w:line="580" w:lineRule="exact"/>
        <w:ind w:firstLine="632" w:firstLineChars="200"/>
        <w:rPr>
          <w:rFonts w:hint="default" w:ascii="Times New Roman" w:hAnsi="Times New Roman" w:cs="Times New Roman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第七章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第四十一条 </w:t>
      </w:r>
      <w:r>
        <w:rPr>
          <w:rStyle w:val="8"/>
          <w:rFonts w:hint="default" w:ascii="Times New Roman" w:hAnsi="Times New Roman" w:eastAsia="仿宋_GB2312" w:cs="Times New Roman"/>
          <w:szCs w:val="32"/>
        </w:rPr>
        <w:t>健全监督管理机制，综合运用多种监管手段，对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职业技能竞赛组织全过程进行监管。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highlight w:val="none"/>
          <w:u w:val="none"/>
          <w:lang w:bidi="ar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力资源社会保障部门应履行主管部门监管责任，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各级纪检部门要加强监督指导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在职业技能竞赛举办前或举办中发现不符合规定条件、标准、规则等规定情形的，或收到有关单位、个人提出相关建议、投诉、举报的，应当及时核查处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highlight w:val="none"/>
          <w:u w:val="none"/>
          <w:lang w:bidi="ar"/>
        </w:rPr>
        <w:t>理；属于其他部门职责范围的，应当及时移交并积极配合协助处理。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第四十二条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在职业技能竞赛中出现因管理不善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造成重大责任事故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或营私舞弊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成绩失实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造成恶劣影响的情形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对竞赛结果不予认定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，并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Hans"/>
        </w:rPr>
        <w:t>由有关部门追究相关单位和个人责任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第四十三条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专家、裁判、监督仲裁、指导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教练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等相关人员，违反工作纪律，造成恶劣影响的，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u w:val="none"/>
          <w:lang w:eastAsia="zh-Hans"/>
        </w:rPr>
        <w:t>由有关部门追究相关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u w:val="none"/>
        </w:rPr>
        <w:t>人员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u w:val="none"/>
          <w:lang w:eastAsia="zh-Hans"/>
        </w:rPr>
        <w:t>责任。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大赛协办单位或合作企业的违约责任通过合同协议明确。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第四十四条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参赛选手不遵守竞赛规程，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经查实有冒名顶替、作弊、扰乱赛场秩序等情形的，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终止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比赛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eastAsia="zh-CN" w:bidi="ar"/>
        </w:rPr>
        <w:t>资格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，取消比赛成绩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Style w:val="7"/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第八章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第四十五条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各地可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/>
        </w:rPr>
        <w:t>参照本办法，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根据实际制定本地具体实施办法。</w:t>
      </w:r>
    </w:p>
    <w:p>
      <w:pPr>
        <w:spacing w:beforeLines="0" w:afterLines="0"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第四十六条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本办法自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2022年6月15日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起执行，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有效期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年，由省人力资源社会保障厅负责解释。过去规定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t>与本办法不一致的，按照本办法规定执行。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eastAsia="zh-CN" w:bidi="ar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创艺简标宋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20____年广东省职业技能竞赛申报表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60"/>
        <w:gridCol w:w="1880"/>
        <w:gridCol w:w="784"/>
        <w:gridCol w:w="497"/>
        <w:gridCol w:w="1251"/>
        <w:gridCol w:w="6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预计初赛参赛人数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24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是否拥有国家职业技能标准或行业企业评价规范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  <w:tc>
          <w:tcPr>
            <w:tcW w:w="2601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是否有对应级别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竞赛等级 </w:t>
            </w:r>
          </w:p>
        </w:tc>
        <w:tc>
          <w:tcPr>
            <w:tcW w:w="5121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技师 □ 高级工 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是否为职业技能等级社会评价机构   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是否为职业技能等级认定用人单位    □ 是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988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职业技能等级评价机构名称（发证机构）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36" w:type="dxa"/>
            <w:gridSpan w:val="6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1"/>
                <w:w w:val="91"/>
                <w:kern w:val="0"/>
                <w:sz w:val="28"/>
                <w:szCs w:val="28"/>
                <w:fitText w:val="7449" w:id="703922315"/>
                <w:vertAlign w:val="baseline"/>
                <w:lang w:val="en-US" w:eastAsia="zh-CN"/>
              </w:rPr>
              <w:t>所申报竞赛项目对应职业和级别是否为评价机构备案的职业和级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17"/>
                <w:w w:val="91"/>
                <w:kern w:val="0"/>
                <w:sz w:val="28"/>
                <w:szCs w:val="28"/>
                <w:fitText w:val="7449" w:id="703922315"/>
                <w:vertAlign w:val="baseline"/>
                <w:lang w:val="en-US" w:eastAsia="zh-CN"/>
              </w:rPr>
              <w:t>别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竞 赛 项 目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（内容：工种定义、在社会经济中的作用、发展趋势、从业人员状况等，可附页）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1134" w:footer="1134" w:gutter="0"/>
          <w:pgNumType w:fmt="decimal"/>
          <w:cols w:space="720" w:num="1"/>
          <w:rtlGutter w:val="0"/>
          <w:docGrid w:type="linesAndChars" w:linePitch="598" w:charSpace="-1024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“职业名称”“职业编码”是指在职业分类大典（申报时的最新版本）中所能查到的，与所填报竞赛项目相对应的职业名称和编码。2.国家职业技能标准可在“技能人才评价工作网”“中国职业培训在线”等网站查询。</w:t>
      </w:r>
    </w:p>
    <w:p>
      <w:pPr>
        <w:pStyle w:val="9"/>
        <w:snapToGrid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表2</w:t>
      </w:r>
    </w:p>
    <w:p>
      <w:pPr>
        <w:pStyle w:val="9"/>
        <w:snapToGrid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职业技能竞赛情况表</w:t>
      </w:r>
    </w:p>
    <w:p>
      <w:pPr>
        <w:pStyle w:val="9"/>
        <w:ind w:right="-1203" w:rightChars="-381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9"/>
        <w:ind w:right="-1203" w:rightChars="-38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填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报单位：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年  月  日</w:t>
      </w:r>
    </w:p>
    <w:tbl>
      <w:tblPr>
        <w:tblStyle w:val="5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1"/>
        <w:gridCol w:w="824"/>
        <w:gridCol w:w="795"/>
        <w:gridCol w:w="712"/>
        <w:gridCol w:w="740"/>
        <w:gridCol w:w="698"/>
        <w:gridCol w:w="951"/>
        <w:gridCol w:w="735"/>
        <w:gridCol w:w="705"/>
        <w:gridCol w:w="780"/>
        <w:gridCol w:w="720"/>
        <w:gridCol w:w="765"/>
        <w:gridCol w:w="735"/>
        <w:gridCol w:w="705"/>
        <w:gridCol w:w="780"/>
        <w:gridCol w:w="94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竞赛职业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（工种）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竞赛标准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参赛人数</w:t>
            </w:r>
          </w:p>
        </w:tc>
        <w:tc>
          <w:tcPr>
            <w:tcW w:w="3869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获职业资格证书人数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技能等级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证书人数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荣誉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初赛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选拔赛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决赛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初级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中级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高级技师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市技术能手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省技术能手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填表人：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联系电话：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278" w:firstLineChars="101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28"/>
          <w:szCs w:val="28"/>
          <w:lang w:val="en-US" w:eastAsia="zh-CN"/>
        </w:rPr>
        <w:sectPr>
          <w:pgSz w:w="16838" w:h="11906" w:orient="landscape"/>
          <w:pgMar w:top="1587" w:right="1984" w:bottom="1474" w:left="1701" w:header="1134" w:footer="1134" w:gutter="0"/>
          <w:pgNumType w:fmt="decimal"/>
          <w:cols w:space="720" w:num="1"/>
          <w:rtlGutter w:val="0"/>
          <w:docGrid w:type="linesAndChars" w:linePitch="631" w:charSpace="-1024"/>
        </w:sectPr>
      </w:pPr>
    </w:p>
    <w:p>
      <w:pPr>
        <w:pStyle w:val="9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广东省职业技能竞赛获奖选手情况表</w:t>
      </w:r>
    </w:p>
    <w:p>
      <w:pPr>
        <w:spacing w:line="580" w:lineRule="exact"/>
        <w:ind w:right="-1203" w:rightChars="-3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>
      <w:pPr>
        <w:spacing w:line="0" w:lineRule="atLeast"/>
        <w:ind w:right="-1203" w:rightChars="-38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主办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年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月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1931"/>
        <w:gridCol w:w="1986"/>
        <w:gridCol w:w="1269"/>
        <w:gridCol w:w="1656"/>
        <w:gridCol w:w="1269"/>
        <w:gridCol w:w="1272"/>
        <w:gridCol w:w="136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决赛人数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="289" w:beforeLines="50" w:after="289" w:afterLines="50" w:line="0" w:lineRule="atLeast"/>
        <w:ind w:firstLine="552" w:firstLineChars="200"/>
        <w:rPr>
          <w:rFonts w:hint="default" w:ascii="Times New Roman" w:hAnsi="Times New Roman" w:cs="Times New Roman"/>
        </w:rPr>
        <w:sectPr>
          <w:footerReference r:id="rId5" w:type="first"/>
          <w:footerReference r:id="rId4" w:type="default"/>
          <w:pgSz w:w="16838" w:h="11906" w:orient="landscape"/>
          <w:pgMar w:top="1587" w:right="1984" w:bottom="1474" w:left="1701" w:header="1134" w:footer="1134" w:gutter="0"/>
          <w:pgNumType w:fmt="decimal" w:start="17"/>
          <w:cols w:space="720" w:num="1"/>
          <w:rtlGutter w:val="0"/>
          <w:docGrid w:type="linesAndChars" w:linePitch="631" w:charSpace="-1024"/>
        </w:sectPr>
      </w:pPr>
      <w:r>
        <w:rPr>
          <w:rFonts w:hint="default" w:ascii="Times New Roman" w:hAnsi="Times New Roman" w:cs="Times New Roman"/>
          <w:sz w:val="28"/>
          <w:szCs w:val="28"/>
        </w:rPr>
        <w:t>填表人：   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center" w:pos="4153"/>
          <w:tab w:val="right" w:pos="8306"/>
        </w:tabs>
        <w:rPr>
          <w:rFonts w:hint="default" w:eastAsia="仿宋_GB2312"/>
          <w:kern w:val="2"/>
          <w:sz w:val="32"/>
          <w:szCs w:val="24"/>
          <w:lang w:val="en-US" w:eastAsia="zh-CN" w:bidi="ar-SA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tabs>
          <w:tab w:val="center" w:pos="4153"/>
          <w:tab w:val="right" w:pos="8306"/>
        </w:tabs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公开方式：主动公开</w:t>
      </w:r>
    </w:p>
    <w:p>
      <w:pPr>
        <w:tabs>
          <w:tab w:val="center" w:pos="4153"/>
          <w:tab w:val="right" w:pos="8306"/>
        </w:tabs>
        <w:rPr>
          <w:rFonts w:hint="default"/>
          <w:lang w:val="en-US" w:eastAsia="zh-CN"/>
        </w:rPr>
      </w:pPr>
    </w:p>
    <w:p>
      <w:pPr>
        <w:pBdr>
          <w:top w:val="single" w:color="auto" w:sz="8" w:space="1"/>
          <w:bottom w:val="single" w:color="auto" w:sz="8" w:space="1"/>
        </w:pBdr>
        <w:ind w:firstLine="280" w:firstLineChars="100"/>
        <w:rPr>
          <w:rFonts w:hint="eastAsia"/>
          <w:spacing w:val="-8"/>
          <w:sz w:val="30"/>
          <w:szCs w:val="30"/>
        </w:rPr>
      </w:pPr>
      <w:r>
        <w:rPr>
          <w:rFonts w:hint="eastAsia"/>
          <w:spacing w:val="-8"/>
          <w:sz w:val="30"/>
          <w:szCs w:val="30"/>
        </w:rPr>
        <w:t xml:space="preserve">广东省人力资源和社会保障厅办公室   </w:t>
      </w:r>
      <w:r>
        <w:rPr>
          <w:rFonts w:hint="eastAsia"/>
          <w:spacing w:val="-8"/>
          <w:sz w:val="30"/>
          <w:szCs w:val="30"/>
          <w:lang w:val="en-US" w:eastAsia="zh-CN"/>
        </w:rPr>
        <w:t xml:space="preserve">    </w:t>
      </w:r>
      <w:r>
        <w:rPr>
          <w:rFonts w:hint="eastAsia"/>
          <w:spacing w:val="-8"/>
          <w:sz w:val="30"/>
          <w:szCs w:val="30"/>
        </w:rPr>
        <w:t xml:space="preserve"> 20</w:t>
      </w:r>
      <w:r>
        <w:rPr>
          <w:rFonts w:hint="eastAsia"/>
          <w:spacing w:val="-8"/>
          <w:sz w:val="30"/>
          <w:szCs w:val="30"/>
          <w:lang w:val="en-US" w:eastAsia="zh-CN"/>
        </w:rPr>
        <w:t>22</w:t>
      </w:r>
      <w:r>
        <w:rPr>
          <w:rFonts w:hint="eastAsia"/>
          <w:spacing w:val="-8"/>
          <w:sz w:val="30"/>
          <w:szCs w:val="30"/>
        </w:rPr>
        <w:t>年</w:t>
      </w:r>
      <w:r>
        <w:rPr>
          <w:rFonts w:hint="eastAsia"/>
          <w:spacing w:val="-8"/>
          <w:sz w:val="30"/>
          <w:szCs w:val="30"/>
          <w:lang w:val="en-US" w:eastAsia="zh-CN"/>
        </w:rPr>
        <w:t>5</w:t>
      </w:r>
      <w:r>
        <w:rPr>
          <w:rFonts w:hint="eastAsia"/>
          <w:spacing w:val="-8"/>
          <w:sz w:val="30"/>
          <w:szCs w:val="30"/>
        </w:rPr>
        <w:t>月</w:t>
      </w:r>
      <w:r>
        <w:rPr>
          <w:rFonts w:hint="eastAsia"/>
          <w:spacing w:val="-8"/>
          <w:sz w:val="30"/>
          <w:szCs w:val="30"/>
          <w:lang w:val="en-US" w:eastAsia="zh-CN"/>
        </w:rPr>
        <w:t>31</w:t>
      </w:r>
      <w:r>
        <w:rPr>
          <w:rFonts w:hint="eastAsia"/>
          <w:spacing w:val="-8"/>
          <w:sz w:val="30"/>
          <w:szCs w:val="30"/>
        </w:rPr>
        <w:t>日印发</w:t>
      </w:r>
    </w:p>
    <w:p/>
    <w:sectPr>
      <w:footerReference r:id="rId6" w:type="default"/>
      <w:pgSz w:w="11906" w:h="16838"/>
      <w:pgMar w:top="1984" w:right="1474" w:bottom="1701" w:left="1587" w:header="1134" w:footer="1134" w:gutter="0"/>
      <w:pgNumType w:fmt="decimal"/>
      <w:cols w:space="72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2529840</wp:posOffset>
              </wp:positionH>
              <wp:positionV relativeFrom="paragraph">
                <wp:posOffset>-53340</wp:posOffset>
              </wp:positionV>
              <wp:extent cx="161290" cy="200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2pt;margin-top:-4.2pt;height:15.75pt;width:12.7pt;mso-position-horizontal-relative:margin;z-index:251659264;mso-width-relative:page;mso-height-relative:page;" filled="f" stroked="f" coordsize="21600,21600" o:gfxdata="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az05dgAAAAJAQAA&#10;DwAAAAAAAAABACAAAAAiAAAAZHJzL2Rvd25yZXYueG1sUEsBAhQAFAAAAAgAh07iQLHWTOMZAgAA&#10;FQ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44E5"/>
    <w:rsid w:val="40F13400"/>
    <w:rsid w:val="466C4A7A"/>
    <w:rsid w:val="67E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p51"/>
    <w:qFormat/>
    <w:uiPriority w:val="0"/>
    <w:rPr>
      <w:rFonts w:hint="eastAsia" w:ascii="ΟGB2312" w:eastAsia="ΟGB2312"/>
      <w:sz w:val="27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9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正文缩进 New"/>
    <w:basedOn w:val="9"/>
    <w:qFormat/>
    <w:uiPriority w:val="0"/>
    <w:pPr>
      <w:ind w:firstLine="420" w:firstLineChars="200"/>
    </w:p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2022-05-31T09:36:00Z</dcterms:created>
  <dc:creator>赖雪霞</dc:creator>
  <cp:lastModifiedBy>赖秀珍</cp:lastModifiedBy>
  <dcterms:modified xsi:type="dcterms:W3CDTF">2022-06-01T02:21:32Z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