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年度“南粤家政”省级家政服务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龙头企业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广州市宜尔宝家庭服务有限公司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广东全优加教育发展有限公司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广州谷丰健康产业投资有限公司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杏林护理之家股份有限公司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广州安裕健康发展有限公司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广州千样好家庭服务有限公司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广州市福民家庭服务有限公司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华邦美好家园养老集团有限公司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深圳市喜娃娃妇幼服务有限公司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珠海市我爱我妻家政服务有限公司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汕头市星牌家政服务有限公司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12.广东宏业南粤人力资源管理有限公司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佛山普顺科技有限公司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佛山市三水佰邦家政有限公司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碧桂园生活服务集团股份有限公司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16.始兴县诚信人力资源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17.河源市美丽华保洁服务有限公司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18.广东省快姨家政服务连锁有限公司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19.惠州拓普家政服务有限公司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20.海丰县幸福家人力资源服务有限公司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21.广东尚伊家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22.广东合创快洁到家家政服务有限公司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23.东莞仁康护理院有限公司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24.中山市网政软件有限公司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25.广州王府管家高端家庭服务有限公司中山分公司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26.广东牛牛科技有限公司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27.茂名市虹祥家政服务有限公司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28.四会市万域人力资源服务有限公司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29.揭阳市萌安家政服务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有限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30.广东仕馨母婴护理有限公司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31.云浮市云城区乐贝思特教育培训中心有限公司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2229A"/>
    <w:rsid w:val="046D17AD"/>
    <w:rsid w:val="094A7775"/>
    <w:rsid w:val="204F170A"/>
    <w:rsid w:val="4032229A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uiPriority w:val="39"/>
    <w:pPr>
      <w:ind w:left="200" w:leftChars="2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2022-01-18T07:35:00Z</dcterms:created>
  <dc:creator>严天城</dc:creator>
  <cp:lastModifiedBy>严天城</cp:lastModifiedBy>
  <dcterms:modified xsi:type="dcterms:W3CDTF">2022-01-18T07:36:15Z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