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156" w:afterLines="50" w:line="58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假眼配置机构评分表</w:t>
      </w:r>
      <w:bookmarkStart w:id="0" w:name="_GoBack"/>
      <w:bookmarkEnd w:id="0"/>
    </w:p>
    <w:tbl>
      <w:tblPr>
        <w:tblStyle w:val="3"/>
        <w:tblW w:w="10269" w:type="dxa"/>
        <w:jc w:val="center"/>
        <w:tblInd w:w="-1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054"/>
        <w:gridCol w:w="714"/>
        <w:gridCol w:w="6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具体明细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管理服务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健全的财务管理制度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健全的设备管理制度，各种设备、器材建立规范的账目，主要设备有建立档案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健全的质量管理制度；明确常规操作技术规范和质量标准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国家《工伤保险辅助器具配置目录》和《广东省工伤保险辅助器具配置目录》的辅助器具配置服务。配置辅助器具的材料及质量应当符合国家相关标准或者行业标准，来源合法，有国家授权的产品质量检测机构出具的合格质量检测报告，标注生产厂家、产品品牌、型号、材料、功能、出品日期、使用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和保修期等事项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能够提供包括辅助器具需求和使用评估、使用训练、配置、维修和使用情况跟踪服务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设立单独的业务档案室，建立各项业务档案和辅助器具配置服务档案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建立信息化管理系统，具备与社会保险经办机构进行信息查询和结算费用的网络运行条件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场地设置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（14分）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独立的制作安装室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人员配置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至少配有1名及以上从事假眼配置工作5年及以上的专业人员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设备设施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（36分）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加热装置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抛光机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抛光布轮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打磨机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打磨棒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压榨器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铸牙盒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消毒机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通风橱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8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320" w:lineRule="exact"/>
        <w:ind w:right="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/>
        </w:rPr>
        <w:t>备注：此表用于初次评审或考核复评。</w:t>
      </w:r>
    </w:p>
    <w:sectPr>
      <w:footerReference r:id="rId3" w:type="default"/>
      <w:pgSz w:w="11906" w:h="16838"/>
      <w:pgMar w:top="2098" w:right="1474" w:bottom="1984" w:left="1587" w:header="1304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303A"/>
    <w:rsid w:val="6CB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2020-06-05T08:16:00Z</dcterms:created>
  <dc:creator>Lenovo</dc:creator>
  <cp:lastModifiedBy>Lenovo</cp:lastModifiedBy>
  <dcterms:modified xsi:type="dcterms:W3CDTF">2020-06-05T08:17:21Z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