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156" w:beforeLines="50" w:after="156" w:afterLines="50" w:line="400" w:lineRule="exact"/>
        <w:ind w:right="0"/>
        <w:jc w:val="center"/>
        <w:textAlignment w:val="auto"/>
        <w:outlineLvl w:val="9"/>
        <w:rPr>
          <w:rFonts w:hint="default" w:ascii="Times New Roman" w:hAnsi="Times New Roman" w:eastAsia="创艺简标宋" w:cs="Times New Roman"/>
          <w:color w:val="000000"/>
          <w:kern w:val="2"/>
          <w:sz w:val="44"/>
          <w:szCs w:val="44"/>
          <w:highlight w:val="none"/>
          <w:lang w:val="en-US" w:eastAsia="zh-CN" w:bidi="ar-SA"/>
        </w:rPr>
      </w:pPr>
      <w:r>
        <w:rPr>
          <w:rFonts w:hint="default" w:ascii="Times New Roman" w:hAnsi="Times New Roman" w:eastAsia="方正小标宋简体" w:cs="Times New Roman"/>
          <w:color w:val="000000"/>
          <w:sz w:val="44"/>
          <w:szCs w:val="44"/>
          <w:lang w:val="en-US" w:eastAsia="zh-CN"/>
        </w:rPr>
        <w:t>助听器配置机构评分表</w:t>
      </w:r>
    </w:p>
    <w:tbl>
      <w:tblPr>
        <w:tblStyle w:val="2"/>
        <w:tblW w:w="10203" w:type="dxa"/>
        <w:jc w:val="center"/>
        <w:tblInd w:w="-1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3"/>
        <w:gridCol w:w="1441"/>
        <w:gridCol w:w="5538"/>
        <w:gridCol w:w="680"/>
        <w:gridCol w:w="680"/>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blHeader/>
          <w:jc w:val="center"/>
        </w:trPr>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项目</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具体明细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分值</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得分</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2"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管理服务（30分）</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健全的财务管理制度</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2"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健全的设备管理制度，各种设备、器材建立规范的账目，主要设备有建立档案</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健全的质量管理制度；明确常规操作技术规范和质量标准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能够提供国家《工伤保险辅助器具配置目录》和《广东省工伤保险辅助器具配置目录》的辅助器具配置服务。配置辅助器具的材料及质量应当符合国家相关标准或者行业标准，来源合法，有国家授权的产品质量检测机构出具的合格质量检测报告，标注生产厂家、产品品牌、型号、材料、功能、出品日期、使用期</w:t>
            </w:r>
            <w:r>
              <w:rPr>
                <w:rFonts w:hint="eastAsia" w:cs="Times New Roman"/>
                <w:i w:val="0"/>
                <w:color w:val="000000"/>
                <w:kern w:val="0"/>
                <w:sz w:val="24"/>
                <w:szCs w:val="24"/>
                <w:u w:val="none"/>
                <w:lang w:val="en-US" w:eastAsia="zh-CN"/>
              </w:rPr>
              <w:t>限</w:t>
            </w:r>
            <w:r>
              <w:rPr>
                <w:rFonts w:hint="default" w:ascii="Times New Roman" w:hAnsi="Times New Roman" w:eastAsia="仿宋_GB2312" w:cs="Times New Roman"/>
                <w:i w:val="0"/>
                <w:color w:val="000000"/>
                <w:kern w:val="0"/>
                <w:sz w:val="24"/>
                <w:szCs w:val="24"/>
                <w:u w:val="none"/>
                <w:lang w:val="en-US" w:eastAsia="zh-CN"/>
              </w:rPr>
              <w:t>和保修期等事项</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10</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能够提供包括辅助器具需求和使用评估、使用训练、配置、维修和使用情况跟踪服务</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5</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设立单独的业务档案室，建立各项业务档案和辅助器具配置服务档案</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建立信息化管理系统，具备与社会保险经办机构进行信息查询和结算费用的网络运行条件</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场地设置（12分）</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诊断室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测听室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耳模室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言语康复指导室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助听器验配室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助听器维修室</w:t>
            </w:r>
          </w:p>
        </w:tc>
        <w:tc>
          <w:tcPr>
            <w:tcW w:w="6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9"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人员配置（20分）</w:t>
            </w: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4名及以上具有专业技术职务任职资格的医师，其中1名专业技术人员须具有耳鼻咽喉科专业高级任职资格</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10</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至少配有1名及以上持有国家认可的助听器验配师资格证书（四级）的专业技术人员</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8</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配备听力测试人员</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设备设施（38分）</w:t>
            </w:r>
          </w:p>
        </w:tc>
        <w:tc>
          <w:tcPr>
            <w:tcW w:w="14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耳科检查设备和备品</w:t>
            </w: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纯音测听仪</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声导抗仪</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听觉脑干诱发电位仪</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测听和助听器验配设备</w:t>
            </w: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声级计</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带扬声器的纯音听力计</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计算机</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编程器</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kern w:val="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rPr>
              <w:t>耳模制作</w:t>
            </w:r>
          </w:p>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设备</w:t>
            </w: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印模注射筒</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胶管扩管器</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光固化机</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手钻</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打磨钻</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打磨钻孔工具</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5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剔挖器</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助听器维修设备</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6"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outlineLvl w:val="9"/>
              <w:rPr>
                <w:rFonts w:hint="default" w:ascii="Times New Roman" w:hAnsi="Times New Roman" w:eastAsia="仿宋_GB2312" w:cs="Times New Roman"/>
                <w:i w:val="0"/>
                <w:color w:val="000000"/>
                <w:sz w:val="24"/>
                <w:szCs w:val="24"/>
                <w:u w:val="none"/>
              </w:rPr>
            </w:pPr>
          </w:p>
        </w:tc>
        <w:tc>
          <w:tcPr>
            <w:tcW w:w="6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以上测听和助听器验配设备按规定定期送国家计量监督部门进行检验和校准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2</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jc w:val="center"/>
        </w:trPr>
        <w:tc>
          <w:tcPr>
            <w:tcW w:w="80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总分</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outlineLvl w:val="9"/>
              <w:rPr>
                <w:rFonts w:hint="default" w:ascii="Times New Roman" w:hAnsi="Times New Roman" w:eastAsia="仿宋_GB2312" w:cs="Times New Roman"/>
                <w:i w:val="0"/>
                <w:color w:val="000000"/>
                <w:sz w:val="24"/>
                <w:szCs w:val="24"/>
                <w:u w:val="none"/>
              </w:rPr>
            </w:pPr>
          </w:p>
        </w:tc>
      </w:tr>
    </w:tbl>
    <w:p>
      <w:pPr>
        <w:widowControl w:val="0"/>
        <w:wordWrap/>
        <w:adjustRightInd/>
        <w:snapToGrid/>
        <w:spacing w:line="400" w:lineRule="exact"/>
        <w:ind w:right="0"/>
        <w:jc w:val="left"/>
        <w:textAlignment w:val="auto"/>
        <w:outlineLvl w:val="9"/>
      </w:pPr>
      <w:r>
        <w:rPr>
          <w:rFonts w:hint="default" w:ascii="Times New Roman" w:hAnsi="Times New Roman" w:eastAsia="仿宋_GB2312" w:cs="Times New Roman"/>
          <w:color w:val="000000"/>
          <w:kern w:val="2"/>
          <w:sz w:val="24"/>
          <w:szCs w:val="24"/>
          <w:highlight w:val="none"/>
          <w:lang w:val="en-US" w:eastAsia="zh-CN" w:bidi="ar-SA"/>
        </w:rPr>
        <w:t>备注：此表用于初次评审或考核复评。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62925"/>
    <w:rsid w:val="6856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2020-06-05T08:11:00Z</dcterms:created>
  <dc:creator>Lenovo</dc:creator>
  <cp:lastModifiedBy>Lenovo</cp:lastModifiedBy>
  <dcterms:modified xsi:type="dcterms:W3CDTF">2020-06-05T08:13:49Z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