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eastAsia="方正小标宋简体"/>
          <w:color w:val="000000"/>
          <w:sz w:val="44"/>
          <w:szCs w:val="44"/>
          <w:lang w:val="en-US"/>
        </w:rPr>
      </w:pPr>
      <w:r>
        <w:rPr>
          <w:rFonts w:hint="eastAsia" w:ascii="Times New Roman" w:hAnsi="方正小标宋简体" w:eastAsia="方正小标宋简体" w:cs="方正小标宋简体"/>
          <w:color w:val="000000"/>
          <w:kern w:val="2"/>
          <w:sz w:val="44"/>
          <w:szCs w:val="44"/>
          <w:lang w:val="en-US" w:eastAsia="zh-CN" w:bidi="ar"/>
        </w:rPr>
        <w:t>广东省工伤保险辅助器具配置协议机构</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eastAsia="方正小标宋简体"/>
          <w:color w:val="000000"/>
          <w:sz w:val="44"/>
          <w:szCs w:val="44"/>
          <w:lang w:val="en-US"/>
        </w:rPr>
      </w:pPr>
      <w:r>
        <w:rPr>
          <w:rFonts w:hint="eastAsia" w:ascii="Times New Roman" w:hAnsi="方正小标宋简体" w:eastAsia="方正小标宋简体" w:cs="方正小标宋简体"/>
          <w:color w:val="000000"/>
          <w:kern w:val="2"/>
          <w:sz w:val="44"/>
          <w:szCs w:val="44"/>
          <w:lang w:val="en-US" w:eastAsia="zh-CN" w:bidi="ar"/>
        </w:rPr>
        <w:t>考核评分表</w:t>
      </w:r>
    </w:p>
    <w:tbl>
      <w:tblPr>
        <w:tblStyle w:val="2"/>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99"/>
        <w:gridCol w:w="3976"/>
        <w:gridCol w:w="1080"/>
        <w:gridCol w:w="945"/>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rFonts w:eastAsia="黑体"/>
                <w:color w:val="000000"/>
                <w:sz w:val="21"/>
                <w:szCs w:val="21"/>
                <w:lang w:val="en-US"/>
              </w:rPr>
            </w:pPr>
            <w:r>
              <w:rPr>
                <w:rFonts w:hint="eastAsia" w:ascii="Times New Roman" w:hAnsi="Times New Roman" w:eastAsia="黑体" w:cs="黑体"/>
                <w:color w:val="000000"/>
                <w:kern w:val="0"/>
                <w:sz w:val="28"/>
                <w:szCs w:val="28"/>
                <w:lang w:val="en-US" w:eastAsia="zh-CN" w:bidi="ar"/>
              </w:rPr>
              <w:t>项目</w:t>
            </w: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rFonts w:eastAsia="黑体"/>
                <w:color w:val="000000"/>
                <w:sz w:val="21"/>
                <w:szCs w:val="21"/>
                <w:lang w:val="en-US"/>
              </w:rPr>
            </w:pPr>
            <w:r>
              <w:rPr>
                <w:rFonts w:hint="eastAsia" w:ascii="Times New Roman" w:hAnsi="Times New Roman" w:eastAsia="黑体" w:cs="黑体"/>
                <w:color w:val="000000"/>
                <w:kern w:val="0"/>
                <w:sz w:val="28"/>
                <w:szCs w:val="28"/>
                <w:lang w:val="en-US" w:eastAsia="zh-CN" w:bidi="ar"/>
              </w:rPr>
              <w:t>具体明细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rFonts w:eastAsia="黑体"/>
                <w:color w:val="000000"/>
                <w:sz w:val="21"/>
                <w:szCs w:val="21"/>
                <w:lang w:val="en-US"/>
              </w:rPr>
            </w:pPr>
            <w:r>
              <w:rPr>
                <w:rFonts w:hint="eastAsia" w:ascii="Times New Roman" w:hAnsi="Times New Roman" w:eastAsia="黑体" w:cs="黑体"/>
                <w:color w:val="000000"/>
                <w:kern w:val="0"/>
                <w:sz w:val="28"/>
                <w:szCs w:val="28"/>
                <w:lang w:val="en-US" w:eastAsia="zh-CN" w:bidi="ar"/>
              </w:rPr>
              <w:t>分值</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rFonts w:eastAsia="黑体"/>
                <w:color w:val="000000"/>
                <w:sz w:val="21"/>
                <w:szCs w:val="21"/>
                <w:lang w:val="en-US"/>
              </w:rPr>
            </w:pPr>
            <w:r>
              <w:rPr>
                <w:rFonts w:hint="eastAsia" w:ascii="Times New Roman" w:hAnsi="Times New Roman" w:eastAsia="黑体" w:cs="黑体"/>
                <w:color w:val="000000"/>
                <w:kern w:val="0"/>
                <w:sz w:val="28"/>
                <w:szCs w:val="28"/>
                <w:lang w:val="en-US" w:eastAsia="zh-CN" w:bidi="ar"/>
              </w:rPr>
              <w:t>得分</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rFonts w:eastAsia="黑体"/>
                <w:color w:val="000000"/>
                <w:sz w:val="21"/>
                <w:szCs w:val="21"/>
                <w:lang w:val="en-US"/>
              </w:rPr>
            </w:pPr>
            <w:r>
              <w:rPr>
                <w:rFonts w:hint="eastAsia" w:ascii="Times New Roman" w:hAnsi="Times New Roman" w:eastAsia="黑体" w:cs="黑体"/>
                <w:color w:val="00000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rPr>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机构标准</w:t>
            </w:r>
          </w:p>
          <w:p>
            <w:pPr>
              <w:keepNext w:val="0"/>
              <w:keepLines w:val="0"/>
              <w:widowControl/>
              <w:suppressLineNumbers w:val="0"/>
              <w:spacing w:before="0" w:beforeLines="0" w:beforeAutospacing="0" w:after="0" w:afterLines="0" w:afterAutospacing="0" w:line="0" w:lineRule="atLeast"/>
              <w:ind w:left="0" w:right="0"/>
              <w:jc w:val="center"/>
              <w:rPr>
                <w:sz w:val="24"/>
                <w:szCs w:val="24"/>
                <w:lang w:val="en-US"/>
              </w:rPr>
            </w:pPr>
            <w:r>
              <w:rPr>
                <w:rFonts w:hint="eastAsia" w:ascii="Times New Roman" w:hAnsi="Times New Roman" w:eastAsia="仿宋_GB2312" w:cs="仿宋_GB2312"/>
                <w:color w:val="000000"/>
                <w:kern w:val="2"/>
                <w:sz w:val="24"/>
                <w:szCs w:val="24"/>
                <w:lang w:val="en-US" w:eastAsia="zh-CN" w:bidi="ar"/>
              </w:rPr>
              <w:t>（</w:t>
            </w:r>
            <w:r>
              <w:rPr>
                <w:rStyle w:val="4"/>
                <w:rFonts w:hint="eastAsia" w:ascii="Times New Roman" w:eastAsia="仿宋_GB2312" w:cs="仿宋_GB2312"/>
                <w:kern w:val="2"/>
                <w:sz w:val="24"/>
                <w:szCs w:val="24"/>
                <w:lang w:val="en-US" w:eastAsia="zh-CN" w:bidi="ar"/>
              </w:rPr>
              <w:t>占</w:t>
            </w:r>
            <w:r>
              <w:rPr>
                <w:rStyle w:val="4"/>
                <w:rFonts w:eastAsia="仿宋_GB2312"/>
                <w:kern w:val="2"/>
                <w:sz w:val="24"/>
                <w:szCs w:val="24"/>
                <w:lang w:val="en-US" w:eastAsia="zh-CN" w:bidi="ar"/>
              </w:rPr>
              <w:t>60%</w:t>
            </w:r>
            <w:r>
              <w:rPr>
                <w:rFonts w:hint="eastAsia" w:ascii="Times New Roman" w:hAnsi="Times New Roman" w:eastAsia="仿宋_GB2312" w:cs="仿宋_GB2312"/>
                <w:color w:val="000000"/>
                <w:kern w:val="2"/>
                <w:sz w:val="24"/>
                <w:szCs w:val="24"/>
                <w:lang w:val="en-US" w:eastAsia="zh-CN" w:bidi="ar"/>
              </w:rPr>
              <w:t>）</w:t>
            </w: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pStyle w:val="5"/>
              <w:widowControl/>
              <w:spacing w:line="0" w:lineRule="atLeast"/>
              <w:rPr>
                <w:rFonts w:eastAsia="仿宋_GB2312"/>
                <w:color w:val="000000"/>
                <w:kern w:val="0"/>
                <w:sz w:val="24"/>
                <w:szCs w:val="24"/>
                <w:lang w:val="en-US"/>
              </w:rPr>
            </w:pPr>
            <w:r>
              <w:rPr>
                <w:rFonts w:hint="eastAsia" w:ascii="Times New Roman" w:eastAsia="仿宋_GB2312" w:cs="仿宋_GB2312"/>
                <w:color w:val="000000"/>
                <w:kern w:val="0"/>
                <w:sz w:val="24"/>
                <w:szCs w:val="24"/>
              </w:rPr>
              <w:t>按照《关于印发广东省工伤保险辅助器具配置机构评估标准的通知》的要求，对辅助器具配置机构所开展的服务项目进行考核</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kern w:val="0"/>
                <w:sz w:val="24"/>
                <w:szCs w:val="24"/>
                <w:lang w:val="en-US"/>
              </w:rPr>
            </w:pPr>
            <w:r>
              <w:rPr>
                <w:rFonts w:hint="default" w:ascii="Times New Roman" w:hAnsi="Times New Roman" w:eastAsia="仿宋_GB2312" w:cs="Times New Roman"/>
                <w:color w:val="000000"/>
                <w:kern w:val="0"/>
                <w:sz w:val="24"/>
                <w:szCs w:val="24"/>
                <w:lang w:val="en-US" w:eastAsia="zh-CN" w:bidi="ar"/>
              </w:rPr>
              <w:t>100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Style w:val="6"/>
                <w:kern w:val="2"/>
                <w:sz w:val="24"/>
                <w:szCs w:val="24"/>
                <w:lang w:val="en-US" w:eastAsia="zh-CN" w:bidi="ar"/>
              </w:rPr>
              <w:t>履行协议</w:t>
            </w:r>
            <w:r>
              <w:rPr>
                <w:rStyle w:val="4"/>
                <w:rFonts w:eastAsia="仿宋_GB2312"/>
                <w:kern w:val="2"/>
                <w:sz w:val="24"/>
                <w:szCs w:val="24"/>
                <w:lang w:val="en-US" w:eastAsia="zh-CN" w:bidi="ar"/>
              </w:rPr>
              <w:t xml:space="preserve"> </w:t>
            </w:r>
            <w:r>
              <w:rPr>
                <w:rStyle w:val="4"/>
                <w:rFonts w:eastAsia="仿宋_GB2312"/>
                <w:kern w:val="2"/>
                <w:sz w:val="24"/>
                <w:szCs w:val="24"/>
                <w:lang w:val="en-US" w:eastAsia="zh-CN" w:bidi="ar"/>
              </w:rPr>
              <w:br w:type="textWrapping"/>
            </w:r>
            <w:r>
              <w:rPr>
                <w:rStyle w:val="6"/>
                <w:kern w:val="2"/>
                <w:sz w:val="24"/>
                <w:szCs w:val="24"/>
                <w:lang w:val="en-US" w:eastAsia="zh-CN" w:bidi="ar"/>
              </w:rPr>
              <w:t>（</w:t>
            </w:r>
            <w:r>
              <w:rPr>
                <w:rStyle w:val="4"/>
                <w:rFonts w:hint="eastAsia" w:ascii="Times New Roman" w:eastAsia="仿宋_GB2312" w:cs="仿宋_GB2312"/>
                <w:kern w:val="2"/>
                <w:sz w:val="24"/>
                <w:szCs w:val="24"/>
                <w:lang w:val="en-US" w:eastAsia="zh-CN" w:bidi="ar"/>
              </w:rPr>
              <w:t>占</w:t>
            </w:r>
            <w:r>
              <w:rPr>
                <w:rStyle w:val="4"/>
                <w:rFonts w:eastAsia="仿宋_GB2312"/>
                <w:kern w:val="2"/>
                <w:sz w:val="24"/>
                <w:szCs w:val="24"/>
                <w:lang w:val="en-US" w:eastAsia="zh-CN" w:bidi="ar"/>
              </w:rPr>
              <w:t>20%</w:t>
            </w:r>
            <w:r>
              <w:rPr>
                <w:rStyle w:val="6"/>
                <w:kern w:val="2"/>
                <w:sz w:val="24"/>
                <w:szCs w:val="24"/>
                <w:lang w:val="en-US" w:eastAsia="zh-CN" w:bidi="ar"/>
              </w:rPr>
              <w:t>）</w:t>
            </w: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left"/>
              <w:textAlignment w:val="center"/>
              <w:rPr>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严格履行配置服务协议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100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16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Style w:val="6"/>
                <w:kern w:val="2"/>
                <w:sz w:val="24"/>
                <w:szCs w:val="24"/>
                <w:lang w:val="en-US" w:eastAsia="zh-CN" w:bidi="ar"/>
              </w:rPr>
              <w:t>配置服务</w:t>
            </w:r>
            <w:r>
              <w:rPr>
                <w:rStyle w:val="4"/>
                <w:rFonts w:eastAsia="仿宋_GB2312"/>
                <w:kern w:val="2"/>
                <w:sz w:val="24"/>
                <w:szCs w:val="24"/>
                <w:lang w:val="en-US" w:eastAsia="zh-CN" w:bidi="ar"/>
              </w:rPr>
              <w:br w:type="textWrapping"/>
            </w:r>
            <w:r>
              <w:rPr>
                <w:rStyle w:val="6"/>
                <w:kern w:val="2"/>
                <w:sz w:val="24"/>
                <w:szCs w:val="24"/>
                <w:lang w:val="en-US" w:eastAsia="zh-CN" w:bidi="ar"/>
              </w:rPr>
              <w:t>（</w:t>
            </w:r>
            <w:r>
              <w:rPr>
                <w:rStyle w:val="4"/>
                <w:rFonts w:hint="eastAsia" w:ascii="Times New Roman" w:eastAsia="仿宋_GB2312" w:cs="仿宋_GB2312"/>
                <w:kern w:val="2"/>
                <w:sz w:val="24"/>
                <w:szCs w:val="24"/>
                <w:lang w:val="en-US" w:eastAsia="zh-CN" w:bidi="ar"/>
              </w:rPr>
              <w:t>占</w:t>
            </w:r>
            <w:r>
              <w:rPr>
                <w:rStyle w:val="4"/>
                <w:rFonts w:eastAsia="仿宋_GB2312"/>
                <w:kern w:val="2"/>
                <w:sz w:val="24"/>
                <w:szCs w:val="24"/>
                <w:lang w:val="en-US" w:eastAsia="zh-CN" w:bidi="ar"/>
              </w:rPr>
              <w:t>20%</w:t>
            </w:r>
            <w:r>
              <w:rPr>
                <w:rStyle w:val="6"/>
                <w:kern w:val="2"/>
                <w:sz w:val="24"/>
                <w:szCs w:val="24"/>
                <w:lang w:val="en-US" w:eastAsia="zh-CN" w:bidi="ar"/>
              </w:rPr>
              <w:t>）</w:t>
            </w: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left"/>
              <w:textAlignment w:val="center"/>
              <w:rPr>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严格遵守工伤保险法规政策和辅助器具配置管理法规政策及标准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16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left"/>
              <w:textAlignment w:val="center"/>
              <w:rPr>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积极配合人力资源社会保障、民政、卫生计生行政部门的监督管理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16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left"/>
              <w:textAlignment w:val="center"/>
              <w:rPr>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严格按照工伤保险辅助器具配置管理服务协议接受社会保险经办机构的定期考核和监督检查</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16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left"/>
              <w:textAlignment w:val="center"/>
              <w:rPr>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如实记录工伤职工信息、配置器具产品信息、最高支付限额、最低使用年限以及实际配置费用等配置服务事项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16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left"/>
              <w:textAlignment w:val="center"/>
              <w:rPr>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定期向社会保险经办机构提供本机构工伤保险辅助器具配置业务动态数据；建立各项业务档案和工伤职工辅助器具配置服务档案，并至少保存至服务期限结束之日起两年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5889" w:type="dxa"/>
            <w:gridSpan w:val="3"/>
            <w:tcBorders>
              <w:top w:val="single" w:color="auto" w:sz="4" w:space="0"/>
              <w:left w:val="single" w:color="auto" w:sz="4" w:space="0"/>
              <w:bottom w:val="single" w:color="auto" w:sz="4" w:space="0"/>
              <w:right w:val="single" w:color="auto" w:sz="4" w:space="0"/>
            </w:tcBorders>
            <w:noWrap w:val="0"/>
            <w:vAlign w:val="center"/>
          </w:tcPr>
          <w:p>
            <w:pPr>
              <w:pStyle w:val="5"/>
              <w:widowControl/>
              <w:spacing w:line="0" w:lineRule="atLeast"/>
              <w:jc w:val="center"/>
              <w:rPr>
                <w:rFonts w:eastAsia="仿宋_GB2312"/>
                <w:color w:val="000000"/>
                <w:kern w:val="0"/>
                <w:sz w:val="24"/>
                <w:szCs w:val="24"/>
                <w:lang w:val="en-US"/>
              </w:rPr>
            </w:pPr>
            <w:r>
              <w:rPr>
                <w:rFonts w:hint="eastAsia" w:ascii="Times New Roman" w:eastAsia="仿宋_GB2312" w:cs="仿宋_GB2312"/>
                <w:color w:val="000000"/>
                <w:kern w:val="0"/>
                <w:sz w:val="24"/>
                <w:szCs w:val="24"/>
              </w:rPr>
              <w:t>总分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center"/>
              <w:textAlignment w:val="center"/>
              <w:rPr>
                <w:color w:val="000000"/>
                <w:kern w:val="0"/>
                <w:sz w:val="24"/>
                <w:szCs w:val="24"/>
                <w:lang w:val="en-US"/>
              </w:rPr>
            </w:pPr>
            <w:r>
              <w:rPr>
                <w:rFonts w:hint="default" w:ascii="Times New Roman" w:hAnsi="Times New Roman" w:eastAsia="仿宋_GB2312" w:cs="Times New Roman"/>
                <w:color w:val="000000"/>
                <w:kern w:val="0"/>
                <w:sz w:val="24"/>
                <w:szCs w:val="24"/>
                <w:lang w:val="en-US" w:eastAsia="zh-CN" w:bidi="ar"/>
              </w:rPr>
              <w:t>100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0" w:lineRule="atLeast"/>
              <w:ind w:left="0" w:right="0"/>
              <w:jc w:val="both"/>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3" w:hRule="atLeast"/>
          <w:jc w:val="center"/>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24"/>
                <w:lang w:val="en-US"/>
              </w:rPr>
            </w:pPr>
            <w:r>
              <w:rPr>
                <w:rFonts w:hint="eastAsia" w:ascii="Times New Roman" w:hAnsi="Times New Roman" w:eastAsia="仿宋_GB2312" w:cs="仿宋_GB2312"/>
                <w:color w:val="000000"/>
                <w:kern w:val="2"/>
                <w:sz w:val="24"/>
                <w:szCs w:val="32"/>
                <w:lang w:val="en-US" w:eastAsia="zh-CN" w:bidi="ar"/>
              </w:rPr>
              <w:t>考核小组意见</w:t>
            </w:r>
          </w:p>
        </w:tc>
        <w:tc>
          <w:tcPr>
            <w:tcW w:w="704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wordWrap w:val="0"/>
              <w:spacing w:before="0" w:beforeLines="0" w:beforeAutospacing="0" w:after="0" w:afterLines="0" w:afterAutospacing="0" w:line="0" w:lineRule="atLeast"/>
              <w:ind w:left="0" w:right="0"/>
              <w:jc w:val="right"/>
              <w:rPr>
                <w:color w:val="000000"/>
                <w:sz w:val="24"/>
                <w:szCs w:val="24"/>
                <w:lang w:val="en-US"/>
              </w:rPr>
            </w:pPr>
          </w:p>
          <w:p>
            <w:pPr>
              <w:keepNext w:val="0"/>
              <w:keepLines w:val="0"/>
              <w:widowControl w:val="0"/>
              <w:suppressLineNumbers w:val="0"/>
              <w:wordWrap w:val="0"/>
              <w:spacing w:before="0" w:beforeLines="0" w:beforeAutospacing="0" w:after="0" w:afterLines="0" w:afterAutospacing="0" w:line="0" w:lineRule="atLeast"/>
              <w:ind w:left="0" w:right="0"/>
              <w:jc w:val="right"/>
              <w:rPr>
                <w:color w:val="000000"/>
                <w:sz w:val="24"/>
                <w:szCs w:val="24"/>
                <w:lang w:val="en-US"/>
              </w:rPr>
            </w:pPr>
          </w:p>
          <w:p>
            <w:pPr>
              <w:keepNext w:val="0"/>
              <w:keepLines w:val="0"/>
              <w:widowControl w:val="0"/>
              <w:suppressLineNumbers w:val="0"/>
              <w:wordWrap w:val="0"/>
              <w:spacing w:before="0" w:beforeLines="0" w:beforeAutospacing="0" w:after="0" w:afterLines="0" w:afterAutospacing="0" w:line="0" w:lineRule="atLeast"/>
              <w:ind w:left="0" w:right="0"/>
              <w:jc w:val="right"/>
              <w:rPr>
                <w:color w:val="000000"/>
                <w:sz w:val="24"/>
                <w:szCs w:val="24"/>
                <w:lang w:val="en-US"/>
              </w:rPr>
            </w:pPr>
          </w:p>
          <w:p>
            <w:pPr>
              <w:keepNext w:val="0"/>
              <w:keepLines w:val="0"/>
              <w:widowControl w:val="0"/>
              <w:suppressLineNumbers w:val="0"/>
              <w:wordWrap w:val="0"/>
              <w:spacing w:before="0" w:beforeLines="0" w:beforeAutospacing="0" w:after="0" w:afterLines="0" w:afterAutospacing="0" w:line="0" w:lineRule="atLeast"/>
              <w:ind w:left="0" w:right="0"/>
              <w:jc w:val="right"/>
              <w:rPr>
                <w:color w:val="000000"/>
                <w:sz w:val="24"/>
                <w:szCs w:val="24"/>
                <w:lang w:val="en-US"/>
              </w:rPr>
            </w:pPr>
          </w:p>
          <w:p>
            <w:pPr>
              <w:keepNext w:val="0"/>
              <w:keepLines w:val="0"/>
              <w:widowControl w:val="0"/>
              <w:suppressLineNumbers w:val="0"/>
              <w:wordWrap w:val="0"/>
              <w:spacing w:before="0" w:beforeLines="0" w:beforeAutospacing="0" w:after="0" w:afterLines="0" w:afterAutospacing="0" w:line="0" w:lineRule="atLeast"/>
              <w:ind w:left="0" w:right="0"/>
              <w:jc w:val="center"/>
              <w:rPr>
                <w:color w:val="000000"/>
                <w:sz w:val="24"/>
                <w:szCs w:val="24"/>
                <w:lang w:val="en-US"/>
              </w:rPr>
            </w:pPr>
            <w:r>
              <w:rPr>
                <w:rFonts w:hint="eastAsia" w:ascii="Times New Roman" w:hAnsi="Times New Roman" w:eastAsia="仿宋_GB2312" w:cs="仿宋_GB2312"/>
                <w:color w:val="000000"/>
                <w:kern w:val="2"/>
                <w:sz w:val="24"/>
                <w:szCs w:val="32"/>
                <w:lang w:val="en-US" w:eastAsia="zh-CN" w:bidi="ar"/>
              </w:rPr>
              <w:t>考核小组人员签名：</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wordWrap w:val="0"/>
              <w:spacing w:before="0" w:beforeLines="0" w:beforeAutospacing="0" w:after="0" w:afterLines="0" w:afterAutospacing="0" w:line="0" w:lineRule="atLeast"/>
              <w:ind w:left="0" w:right="0"/>
              <w:jc w:val="right"/>
              <w:rPr>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24"/>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地级以上市</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社会保险</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经办机构</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24"/>
                <w:lang w:val="en-US"/>
              </w:rPr>
            </w:pPr>
            <w:r>
              <w:rPr>
                <w:rFonts w:hint="eastAsia" w:ascii="Times New Roman" w:hAnsi="Times New Roman" w:eastAsia="仿宋_GB2312" w:cs="仿宋_GB2312"/>
                <w:color w:val="000000"/>
                <w:kern w:val="2"/>
                <w:sz w:val="24"/>
                <w:szCs w:val="32"/>
                <w:lang w:val="en-US" w:eastAsia="zh-CN" w:bidi="ar"/>
              </w:rPr>
              <w:t>意见</w:t>
            </w:r>
          </w:p>
        </w:tc>
        <w:tc>
          <w:tcPr>
            <w:tcW w:w="704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wordWrap w:val="0"/>
              <w:spacing w:before="0" w:beforeLines="0" w:beforeAutospacing="0" w:after="0" w:afterLines="0" w:afterAutospacing="0" w:line="0" w:lineRule="atLeast"/>
              <w:ind w:left="0" w:right="0" w:firstLine="4200" w:firstLineChars="1750"/>
              <w:jc w:val="righ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（盖章）</w:t>
            </w:r>
            <w:r>
              <w:rPr>
                <w:rFonts w:hint="default" w:ascii="Times New Roman" w:hAnsi="Times New Roman" w:eastAsia="仿宋_GB2312" w:cs="Times New Roman"/>
                <w:color w:val="000000"/>
                <w:kern w:val="2"/>
                <w:sz w:val="24"/>
                <w:szCs w:val="32"/>
                <w:lang w:val="en-US" w:eastAsia="zh-CN" w:bidi="ar"/>
              </w:rPr>
              <w:t xml:space="preserve">     </w:t>
            </w:r>
          </w:p>
          <w:p>
            <w:pPr>
              <w:keepNext w:val="0"/>
              <w:keepLines w:val="0"/>
              <w:widowControl w:val="0"/>
              <w:suppressLineNumbers w:val="0"/>
              <w:wordWrap w:val="0"/>
              <w:spacing w:before="0" w:beforeLines="0" w:beforeAutospacing="0" w:after="0" w:afterLines="0" w:afterAutospacing="0" w:line="0" w:lineRule="atLeast"/>
              <w:ind w:left="0" w:right="0"/>
              <w:jc w:val="right"/>
              <w:rPr>
                <w:color w:val="000000"/>
                <w:sz w:val="24"/>
                <w:szCs w:val="24"/>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jc w:val="center"/>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地级以上市</w:t>
            </w:r>
          </w:p>
          <w:p>
            <w:pPr>
              <w:keepNext w:val="0"/>
              <w:keepLines w:val="0"/>
              <w:widowControl w:val="0"/>
              <w:suppressLineNumbers w:val="0"/>
              <w:spacing w:before="0" w:beforeLines="0" w:beforeAutospacing="0" w:after="0" w:afterLines="0" w:afterAutospacing="0" w:line="0" w:lineRule="atLeast"/>
              <w:ind w:left="0" w:right="0"/>
              <w:jc w:val="both"/>
              <w:rPr>
                <w:color w:val="000000"/>
                <w:sz w:val="24"/>
                <w:szCs w:val="32"/>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人力资源</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社会保障</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行政部门</w:t>
            </w:r>
          </w:p>
          <w:p>
            <w:pPr>
              <w:keepNext w:val="0"/>
              <w:keepLines w:val="0"/>
              <w:widowControl w:val="0"/>
              <w:suppressLineNumbers w:val="0"/>
              <w:spacing w:before="0" w:beforeLines="0" w:beforeAutospacing="0" w:after="0" w:afterLines="0" w:afterAutospacing="0" w:line="0" w:lineRule="atLeast"/>
              <w:ind w:left="0" w:right="0"/>
              <w:jc w:val="center"/>
              <w:rPr>
                <w:color w:val="000000"/>
                <w:sz w:val="24"/>
                <w:szCs w:val="24"/>
                <w:lang w:val="en-US"/>
              </w:rPr>
            </w:pPr>
            <w:r>
              <w:rPr>
                <w:rFonts w:hint="eastAsia" w:ascii="Times New Roman" w:hAnsi="Times New Roman" w:eastAsia="仿宋_GB2312" w:cs="仿宋_GB2312"/>
                <w:color w:val="000000"/>
                <w:kern w:val="2"/>
                <w:sz w:val="24"/>
                <w:szCs w:val="32"/>
                <w:lang w:val="en-US" w:eastAsia="zh-CN" w:bidi="ar"/>
              </w:rPr>
              <w:t>意见</w:t>
            </w:r>
          </w:p>
        </w:tc>
        <w:tc>
          <w:tcPr>
            <w:tcW w:w="704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wordWrap w:val="0"/>
              <w:spacing w:before="0" w:beforeLines="0" w:beforeAutospacing="0" w:after="0" w:afterLines="0" w:afterAutospacing="0" w:line="0" w:lineRule="atLeast"/>
              <w:ind w:left="0" w:right="0" w:firstLine="4200" w:firstLineChars="1750"/>
              <w:jc w:val="right"/>
              <w:rPr>
                <w:color w:val="000000"/>
                <w:sz w:val="24"/>
                <w:szCs w:val="32"/>
                <w:lang w:val="en-US"/>
              </w:rPr>
            </w:pPr>
            <w:bookmarkStart w:id="0" w:name="_GoBack"/>
            <w:bookmarkEnd w:id="0"/>
          </w:p>
          <w:p>
            <w:pPr>
              <w:keepNext w:val="0"/>
              <w:keepLines w:val="0"/>
              <w:widowControl w:val="0"/>
              <w:suppressLineNumbers w:val="0"/>
              <w:wordWrap w:val="0"/>
              <w:spacing w:before="0" w:beforeLines="0" w:beforeAutospacing="0" w:after="0" w:afterLines="0" w:afterAutospacing="0" w:line="0" w:lineRule="atLeast"/>
              <w:ind w:left="0" w:right="0" w:firstLine="4200" w:firstLineChars="1750"/>
              <w:jc w:val="right"/>
              <w:rPr>
                <w:color w:val="000000"/>
                <w:sz w:val="24"/>
                <w:szCs w:val="32"/>
                <w:lang w:val="en-US"/>
              </w:rPr>
            </w:pPr>
          </w:p>
          <w:p>
            <w:pPr>
              <w:keepNext w:val="0"/>
              <w:keepLines w:val="0"/>
              <w:widowControl w:val="0"/>
              <w:suppressLineNumbers w:val="0"/>
              <w:wordWrap w:val="0"/>
              <w:spacing w:before="0" w:beforeLines="0" w:beforeAutospacing="0" w:after="0" w:afterLines="0" w:afterAutospacing="0" w:line="0" w:lineRule="atLeast"/>
              <w:ind w:left="0" w:right="0" w:firstLine="4200" w:firstLineChars="1750"/>
              <w:jc w:val="right"/>
              <w:rPr>
                <w:color w:val="000000"/>
                <w:sz w:val="24"/>
                <w:szCs w:val="32"/>
                <w:lang w:val="en-US"/>
              </w:rPr>
            </w:pPr>
          </w:p>
          <w:p>
            <w:pPr>
              <w:keepNext w:val="0"/>
              <w:keepLines w:val="0"/>
              <w:widowControl w:val="0"/>
              <w:suppressLineNumbers w:val="0"/>
              <w:wordWrap w:val="0"/>
              <w:spacing w:before="0" w:beforeLines="0" w:beforeAutospacing="0" w:after="0" w:afterLines="0" w:afterAutospacing="0" w:line="0" w:lineRule="atLeast"/>
              <w:ind w:left="0" w:right="0" w:firstLine="4200" w:firstLineChars="1750"/>
              <w:jc w:val="righ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（盖章）</w:t>
            </w:r>
            <w:r>
              <w:rPr>
                <w:rFonts w:hint="default" w:ascii="Times New Roman" w:hAnsi="Times New Roman" w:eastAsia="仿宋_GB2312" w:cs="Times New Roman"/>
                <w:color w:val="000000"/>
                <w:kern w:val="2"/>
                <w:sz w:val="24"/>
                <w:szCs w:val="32"/>
                <w:lang w:val="en-US" w:eastAsia="zh-CN" w:bidi="ar"/>
              </w:rPr>
              <w:t xml:space="preserve">     </w:t>
            </w:r>
          </w:p>
          <w:p>
            <w:pPr>
              <w:keepNext w:val="0"/>
              <w:keepLines w:val="0"/>
              <w:widowControl w:val="0"/>
              <w:suppressLineNumbers w:val="0"/>
              <w:wordWrap w:val="0"/>
              <w:spacing w:before="0" w:beforeLines="0" w:beforeAutospacing="0" w:after="0" w:afterLines="0" w:afterAutospacing="0" w:line="0" w:lineRule="atLeast"/>
              <w:ind w:left="0" w:right="0" w:firstLine="4200" w:firstLineChars="1750"/>
              <w:jc w:val="right"/>
              <w:rPr>
                <w:color w:val="000000"/>
                <w:sz w:val="24"/>
                <w:szCs w:val="24"/>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bl>
    <w:p>
      <w:pPr>
        <w:keepNext w:val="0"/>
        <w:keepLines w:val="0"/>
        <w:widowControl w:val="0"/>
        <w:suppressLineNumbers w:val="0"/>
        <w:spacing w:before="0" w:beforeLines="0" w:beforeAutospacing="0" w:after="0" w:afterLines="0" w:afterAutospacing="0" w:line="400" w:lineRule="exact"/>
        <w:ind w:left="0" w:right="0"/>
        <w:jc w:val="left"/>
        <w:rPr>
          <w:sz w:val="21"/>
          <w:szCs w:val="21"/>
          <w:lang w:val="en-US"/>
        </w:rPr>
      </w:pPr>
      <w:r>
        <w:rPr>
          <w:rFonts w:hint="eastAsia" w:ascii="Times New Roman" w:hAnsi="Times New Roman" w:eastAsia="仿宋_GB2312" w:cs="仿宋_GB2312"/>
          <w:color w:val="000000"/>
          <w:kern w:val="2"/>
          <w:sz w:val="21"/>
          <w:szCs w:val="21"/>
          <w:lang w:val="en-US" w:eastAsia="zh-CN" w:bidi="ar"/>
        </w:rPr>
        <w:t>备注：</w:t>
      </w:r>
      <w:r>
        <w:rPr>
          <w:rFonts w:hint="default" w:ascii="Times New Roman" w:hAnsi="Times New Roman" w:eastAsia="仿宋_GB2312" w:cs="Times New Roman"/>
          <w:color w:val="000000"/>
          <w:kern w:val="2"/>
          <w:sz w:val="21"/>
          <w:szCs w:val="21"/>
          <w:lang w:val="en-US" w:eastAsia="zh-CN" w:bidi="ar"/>
        </w:rPr>
        <w:t>1</w:t>
      </w:r>
      <w:r>
        <w:rPr>
          <w:rFonts w:hint="eastAsia" w:ascii="Times New Roman" w:hAnsi="Times New Roman" w:eastAsia="仿宋_GB2312" w:cs="仿宋_GB2312"/>
          <w:color w:val="000000"/>
          <w:kern w:val="2"/>
          <w:sz w:val="21"/>
          <w:szCs w:val="21"/>
          <w:lang w:val="en-US" w:eastAsia="zh-CN" w:bidi="ar"/>
        </w:rPr>
        <w:t>．总分</w:t>
      </w:r>
      <w:r>
        <w:rPr>
          <w:rFonts w:hint="default" w:ascii="Times New Roman" w:hAnsi="Times New Roman" w:eastAsia="仿宋_GB2312" w:cs="Times New Roman"/>
          <w:color w:val="000000"/>
          <w:kern w:val="2"/>
          <w:sz w:val="21"/>
          <w:szCs w:val="21"/>
          <w:lang w:val="en-US" w:eastAsia="zh-CN" w:bidi="ar"/>
        </w:rPr>
        <w:t>=</w:t>
      </w:r>
      <w:r>
        <w:rPr>
          <w:rFonts w:hint="eastAsia" w:ascii="Times New Roman" w:hAnsi="Times New Roman" w:eastAsia="仿宋_GB2312" w:cs="仿宋_GB2312"/>
          <w:color w:val="000000"/>
          <w:kern w:val="2"/>
          <w:sz w:val="21"/>
          <w:szCs w:val="21"/>
          <w:lang w:val="en-US" w:eastAsia="zh-CN" w:bidi="ar"/>
        </w:rPr>
        <w:t>机构标准得分</w:t>
      </w:r>
      <w:r>
        <w:rPr>
          <w:rFonts w:hint="default" w:ascii="Times New Roman" w:hAnsi="Times New Roman" w:eastAsia="仿宋_GB2312" w:cs="Times New Roman"/>
          <w:color w:val="000000"/>
          <w:kern w:val="2"/>
          <w:sz w:val="21"/>
          <w:szCs w:val="21"/>
          <w:lang w:val="en-US" w:eastAsia="zh-CN" w:bidi="ar"/>
        </w:rPr>
        <w:t>×</w:t>
      </w:r>
      <w:r>
        <w:rPr>
          <w:rStyle w:val="4"/>
          <w:rFonts w:eastAsia="仿宋_GB2312"/>
          <w:kern w:val="2"/>
          <w:sz w:val="21"/>
          <w:szCs w:val="21"/>
          <w:lang w:val="en-US" w:eastAsia="zh-CN" w:bidi="ar"/>
        </w:rPr>
        <w:t>60%</w:t>
      </w:r>
      <w:r>
        <w:rPr>
          <w:rFonts w:hint="default" w:ascii="Times New Roman" w:hAnsi="Times New Roman" w:eastAsia="仿宋_GB2312" w:cs="Times New Roman"/>
          <w:color w:val="000000"/>
          <w:kern w:val="2"/>
          <w:sz w:val="21"/>
          <w:szCs w:val="21"/>
          <w:lang w:val="en-US" w:eastAsia="zh-CN" w:bidi="ar"/>
        </w:rPr>
        <w:t>+</w:t>
      </w:r>
      <w:r>
        <w:rPr>
          <w:rFonts w:hint="eastAsia" w:ascii="Times New Roman" w:hAnsi="Times New Roman" w:eastAsia="仿宋_GB2312" w:cs="仿宋_GB2312"/>
          <w:color w:val="000000"/>
          <w:kern w:val="2"/>
          <w:sz w:val="21"/>
          <w:szCs w:val="21"/>
          <w:lang w:val="en-US" w:eastAsia="zh-CN" w:bidi="ar"/>
        </w:rPr>
        <w:t>履行协议得分</w:t>
      </w:r>
      <w:r>
        <w:rPr>
          <w:rFonts w:hint="default" w:ascii="Times New Roman" w:hAnsi="Times New Roman" w:eastAsia="仿宋_GB2312" w:cs="Times New Roman"/>
          <w:color w:val="000000"/>
          <w:kern w:val="2"/>
          <w:sz w:val="21"/>
          <w:szCs w:val="21"/>
          <w:lang w:val="en-US" w:eastAsia="zh-CN" w:bidi="ar"/>
        </w:rPr>
        <w:t>×</w:t>
      </w:r>
      <w:r>
        <w:rPr>
          <w:rStyle w:val="4"/>
          <w:rFonts w:eastAsia="仿宋_GB2312"/>
          <w:kern w:val="2"/>
          <w:sz w:val="21"/>
          <w:szCs w:val="21"/>
          <w:lang w:val="en-US" w:eastAsia="zh-CN" w:bidi="ar"/>
        </w:rPr>
        <w:t>20%</w:t>
      </w:r>
      <w:r>
        <w:rPr>
          <w:rFonts w:hint="default" w:ascii="Times New Roman" w:hAnsi="Times New Roman" w:eastAsia="仿宋_GB2312" w:cs="Times New Roman"/>
          <w:color w:val="000000"/>
          <w:kern w:val="2"/>
          <w:sz w:val="21"/>
          <w:szCs w:val="21"/>
          <w:lang w:val="en-US" w:eastAsia="zh-CN" w:bidi="ar"/>
        </w:rPr>
        <w:t>+</w:t>
      </w:r>
      <w:r>
        <w:rPr>
          <w:rFonts w:hint="eastAsia" w:ascii="Times New Roman" w:hAnsi="Times New Roman" w:eastAsia="仿宋_GB2312" w:cs="仿宋_GB2312"/>
          <w:color w:val="000000"/>
          <w:kern w:val="2"/>
          <w:sz w:val="21"/>
          <w:szCs w:val="21"/>
          <w:lang w:val="en-US" w:eastAsia="zh-CN" w:bidi="ar"/>
        </w:rPr>
        <w:t>配置服务得分</w:t>
      </w:r>
      <w:r>
        <w:rPr>
          <w:rFonts w:hint="default" w:ascii="Times New Roman" w:hAnsi="Times New Roman" w:eastAsia="仿宋_GB2312" w:cs="Times New Roman"/>
          <w:color w:val="000000"/>
          <w:kern w:val="2"/>
          <w:sz w:val="21"/>
          <w:szCs w:val="21"/>
          <w:lang w:val="en-US" w:eastAsia="zh-CN" w:bidi="ar"/>
        </w:rPr>
        <w:t>×</w:t>
      </w:r>
      <w:r>
        <w:rPr>
          <w:rStyle w:val="4"/>
          <w:rFonts w:eastAsia="仿宋_GB2312"/>
          <w:kern w:val="2"/>
          <w:sz w:val="21"/>
          <w:szCs w:val="21"/>
          <w:lang w:val="en-US" w:eastAsia="zh-CN" w:bidi="ar"/>
        </w:rPr>
        <w:t>20%</w:t>
      </w:r>
      <w:r>
        <w:rPr>
          <w:rStyle w:val="4"/>
          <w:rFonts w:hint="eastAsia" w:ascii="Times New Roman" w:eastAsia="仿宋_GB2312" w:cs="仿宋_GB2312"/>
          <w:kern w:val="2"/>
          <w:sz w:val="21"/>
          <w:szCs w:val="21"/>
          <w:lang w:val="en-US" w:eastAsia="zh-CN" w:bidi="ar"/>
        </w:rPr>
        <w:t>；</w:t>
      </w:r>
    </w:p>
    <w:p>
      <w:pPr>
        <w:keepNext w:val="0"/>
        <w:keepLines w:val="0"/>
        <w:widowControl w:val="0"/>
        <w:numPr>
          <w:ilvl w:val="0"/>
          <w:numId w:val="1"/>
        </w:numPr>
        <w:suppressLineNumbers w:val="0"/>
        <w:spacing w:before="0" w:beforeLines="0" w:beforeAutospacing="0" w:after="0" w:afterLines="0" w:afterAutospacing="0" w:line="400" w:lineRule="exact"/>
        <w:ind w:left="0" w:right="0" w:firstLine="627" w:firstLineChars="299"/>
        <w:jc w:val="left"/>
        <w:rPr>
          <w:color w:val="000000"/>
          <w:sz w:val="21"/>
          <w:szCs w:val="21"/>
          <w:lang w:val="en-US"/>
        </w:rPr>
      </w:pPr>
      <w:r>
        <w:rPr>
          <w:rFonts w:hint="eastAsia" w:ascii="Times New Roman" w:hAnsi="Times New Roman" w:eastAsia="仿宋_GB2312" w:cs="仿宋_GB2312"/>
          <w:color w:val="000000"/>
          <w:kern w:val="2"/>
          <w:sz w:val="21"/>
          <w:szCs w:val="21"/>
          <w:lang w:val="en-US" w:eastAsia="zh-CN" w:bidi="ar"/>
        </w:rPr>
        <w:t>本申请表一式四份，申请单位、省人力资源社会保障行政部门、市人力资源社会</w:t>
      </w:r>
    </w:p>
    <w:p>
      <w:pPr>
        <w:keepNext w:val="0"/>
        <w:keepLines w:val="0"/>
        <w:widowControl w:val="0"/>
        <w:suppressLineNumbers w:val="0"/>
        <w:spacing w:before="0" w:beforeLines="0" w:beforeAutospacing="0" w:after="0" w:afterLines="0" w:afterAutospacing="0" w:line="400" w:lineRule="exact"/>
        <w:ind w:left="0" w:right="0" w:firstLine="964"/>
        <w:jc w:val="left"/>
        <w:rPr>
          <w:color w:val="000000"/>
          <w:sz w:val="21"/>
          <w:szCs w:val="21"/>
          <w:lang w:val="en-US"/>
        </w:rPr>
      </w:pPr>
      <w:r>
        <w:rPr>
          <w:rFonts w:hint="eastAsia" w:ascii="Times New Roman" w:hAnsi="Times New Roman" w:eastAsia="仿宋_GB2312" w:cs="仿宋_GB2312"/>
          <w:color w:val="000000"/>
          <w:kern w:val="2"/>
          <w:sz w:val="21"/>
          <w:szCs w:val="21"/>
          <w:lang w:val="en-US" w:eastAsia="zh-CN" w:bidi="ar"/>
        </w:rPr>
        <w:t>保障行政部门、经办机构各一份。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26B81E"/>
    <w:multiLevelType w:val="multilevel"/>
    <w:tmpl w:val="F926B81E"/>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60D5E"/>
    <w:rsid w:val="2E96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default" w:ascii="Times New Roman" w:hAnsi="Times New Roman" w:cs="Times New Roman"/>
      <w:color w:val="000000"/>
      <w:sz w:val="28"/>
      <w:szCs w:val="28"/>
      <w:u w:val="none"/>
    </w:rPr>
  </w:style>
  <w:style w:type="paragraph" w:customStyle="1" w:styleId="5">
    <w:name w:val="正文 New New New New New New New New New New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6">
    <w:name w:val="font3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2020-06-05T07:58:00Z</dcterms:created>
  <dc:creator>Lenovo</dc:creator>
  <cp:lastModifiedBy>Lenovo</cp:lastModifiedBy>
  <dcterms:modified xsi:type="dcterms:W3CDTF">2020-06-05T08:01:16Z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