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黑体" w:cs="Times New Roman"/>
          <w:color w:val="auto"/>
          <w:sz w:val="32"/>
          <w:szCs w:val="32"/>
          <w:highlight w:val="none"/>
          <w:lang w:val="en-US" w:eastAsia="zh-CN"/>
        </w:rPr>
        <w:t>附件4</w:t>
      </w:r>
    </w:p>
    <w:p>
      <w:pPr>
        <w:pStyle w:val="9"/>
        <w:keepNext w:val="0"/>
        <w:keepLines w:val="0"/>
        <w:pageBreakBefore w:val="0"/>
        <w:widowControl w:val="0"/>
        <w:kinsoku/>
        <w:wordWrap/>
        <w:topLinePunct w:val="0"/>
        <w:bidi w:val="0"/>
        <w:adjustRightInd/>
        <w:spacing w:before="0" w:line="600" w:lineRule="exact"/>
        <w:jc w:val="both"/>
        <w:outlineLvl w:val="1"/>
        <w:rPr>
          <w:rFonts w:hint="default" w:ascii="Times New Roman" w:hAnsi="Times New Roman" w:eastAsia="方正小标宋简体" w:cs="Times New Roman"/>
          <w:color w:val="auto"/>
          <w:sz w:val="44"/>
          <w:szCs w:val="44"/>
          <w:highlight w:val="none"/>
          <w:lang w:val="en-US" w:eastAsia="zh-CN"/>
        </w:rPr>
      </w:pPr>
    </w:p>
    <w:p>
      <w:pPr>
        <w:pStyle w:val="9"/>
        <w:keepNext w:val="0"/>
        <w:keepLines w:val="0"/>
        <w:pageBreakBefore w:val="0"/>
        <w:widowControl w:val="0"/>
        <w:kinsoku/>
        <w:wordWrap/>
        <w:topLinePunct w:val="0"/>
        <w:bidi w:val="0"/>
        <w:adjustRightInd/>
        <w:spacing w:before="0" w:line="600" w:lineRule="exact"/>
        <w:jc w:val="center"/>
        <w:outlineLvl w:val="1"/>
        <w:rPr>
          <w:rFonts w:hint="default" w:ascii="Times New Roman" w:hAnsi="Times New Roman" w:eastAsia="创艺简标宋" w:cs="Times New Roman"/>
          <w:color w:val="auto"/>
          <w:sz w:val="40"/>
          <w:szCs w:val="40"/>
          <w:highlight w:val="none"/>
          <w:lang w:val="en-US" w:eastAsia="zh-CN"/>
        </w:rPr>
      </w:pPr>
      <w:r>
        <w:rPr>
          <w:rFonts w:hint="default" w:ascii="Times New Roman" w:hAnsi="Times New Roman" w:eastAsia="创艺简标宋" w:cs="Times New Roman"/>
          <w:color w:val="auto"/>
          <w:sz w:val="40"/>
          <w:szCs w:val="40"/>
          <w:highlight w:val="none"/>
          <w:lang w:val="en-US" w:eastAsia="zh-CN"/>
        </w:rPr>
        <w:t>港澳台居民一次性趸缴企业职工养老保险费</w:t>
      </w:r>
    </w:p>
    <w:p>
      <w:pPr>
        <w:pStyle w:val="9"/>
        <w:keepNext w:val="0"/>
        <w:keepLines w:val="0"/>
        <w:pageBreakBefore w:val="0"/>
        <w:widowControl w:val="0"/>
        <w:kinsoku/>
        <w:wordWrap/>
        <w:topLinePunct w:val="0"/>
        <w:bidi w:val="0"/>
        <w:adjustRightInd/>
        <w:spacing w:before="0" w:line="600" w:lineRule="exact"/>
        <w:jc w:val="center"/>
        <w:outlineLvl w:val="1"/>
        <w:rPr>
          <w:rFonts w:hint="default" w:ascii="Times New Roman" w:hAnsi="Times New Roman" w:eastAsia="创艺简标宋" w:cs="Times New Roman"/>
          <w:color w:val="auto"/>
          <w:sz w:val="40"/>
          <w:szCs w:val="40"/>
          <w:highlight w:val="none"/>
          <w:lang w:eastAsia="zh-CN"/>
        </w:rPr>
      </w:pPr>
      <w:r>
        <w:rPr>
          <w:rFonts w:hint="default" w:ascii="Times New Roman" w:hAnsi="Times New Roman" w:eastAsia="创艺简标宋" w:cs="Times New Roman"/>
          <w:color w:val="auto"/>
          <w:sz w:val="40"/>
          <w:szCs w:val="40"/>
          <w:highlight w:val="none"/>
          <w:lang w:val="en-US" w:eastAsia="zh-CN"/>
        </w:rPr>
        <w:t>办事指南</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一、事项名称</w:t>
      </w:r>
    </w:p>
    <w:p>
      <w:pPr>
        <w:keepNext w:val="0"/>
        <w:keepLines w:val="0"/>
        <w:pageBreakBefore w:val="0"/>
        <w:widowControl w:val="0"/>
        <w:kinsoku/>
        <w:wordWrap/>
        <w:overflowPunct/>
        <w:topLinePunct w:val="0"/>
        <w:autoSpaceDE/>
        <w:autoSpaceDN/>
        <w:bidi w:val="0"/>
        <w:adjustRightInd/>
        <w:spacing w:line="620" w:lineRule="exact"/>
        <w:ind w:firstLine="640" w:firstLineChars="200"/>
        <w:jc w:val="left"/>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一次性趸缴</w:t>
      </w:r>
      <w:r>
        <w:rPr>
          <w:rFonts w:hint="default"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eastAsia="zh-CN"/>
        </w:rPr>
        <w:t>职工养老保险费</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二、办理</w:t>
      </w:r>
      <w:r>
        <w:rPr>
          <w:rFonts w:hint="default" w:ascii="Times New Roman" w:hAnsi="Times New Roman" w:eastAsia="黑体" w:cs="Times New Roman"/>
          <w:color w:val="auto"/>
          <w:sz w:val="32"/>
          <w:szCs w:val="32"/>
          <w:highlight w:val="none"/>
        </w:rPr>
        <w:t>对象</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社会保险法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实施前参保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延长缴费5年后仍不足15年的</w:t>
      </w:r>
      <w:r>
        <w:rPr>
          <w:rFonts w:hint="default" w:ascii="Times New Roman" w:hAnsi="Times New Roman" w:eastAsia="仿宋_GB2312" w:cs="Times New Roman"/>
          <w:color w:val="auto"/>
          <w:sz w:val="32"/>
          <w:szCs w:val="32"/>
          <w:lang w:eastAsia="zh-CN"/>
        </w:rPr>
        <w:t>港澳台居民</w:t>
      </w:r>
      <w:r>
        <w:rPr>
          <w:rFonts w:hint="default" w:ascii="Times New Roman" w:hAnsi="Times New Roman" w:eastAsia="仿宋_GB2312" w:cs="Times New Roman"/>
          <w:color w:val="auto"/>
          <w:sz w:val="32"/>
          <w:szCs w:val="32"/>
        </w:rPr>
        <w:t>，可以一次性</w:t>
      </w:r>
      <w:r>
        <w:rPr>
          <w:rFonts w:hint="default" w:ascii="Times New Roman" w:hAnsi="Times New Roman" w:eastAsia="仿宋_GB2312" w:cs="Times New Roman"/>
          <w:color w:val="auto"/>
          <w:sz w:val="32"/>
          <w:szCs w:val="32"/>
          <w:lang w:eastAsia="zh-CN"/>
        </w:rPr>
        <w:t>趸缴</w:t>
      </w:r>
      <w:r>
        <w:rPr>
          <w:rFonts w:hint="default" w:ascii="Times New Roman" w:hAnsi="Times New Roman" w:eastAsia="仿宋_GB2312" w:cs="Times New Roman"/>
          <w:color w:val="auto"/>
          <w:sz w:val="32"/>
          <w:szCs w:val="32"/>
        </w:rPr>
        <w:t>至满15年。</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、设定依据</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1.《中华人民共和国社会保险法》（</w:t>
      </w:r>
      <w:r>
        <w:rPr>
          <w:rFonts w:hint="default" w:ascii="Times New Roman" w:hAnsi="Times New Roman" w:eastAsia="仿宋_GB2312" w:cs="Times New Roman"/>
          <w:color w:val="auto"/>
          <w:sz w:val="32"/>
          <w:szCs w:val="32"/>
          <w:highlight w:val="none"/>
          <w:lang w:eastAsia="zh-CN"/>
        </w:rPr>
        <w:t>中华人民共和国</w:t>
      </w:r>
      <w:r>
        <w:rPr>
          <w:rFonts w:hint="default" w:ascii="Times New Roman" w:hAnsi="Times New Roman" w:eastAsia="仿宋_GB2312" w:cs="Times New Roman"/>
          <w:color w:val="auto"/>
          <w:sz w:val="32"/>
          <w:szCs w:val="32"/>
          <w:highlight w:val="none"/>
        </w:rPr>
        <w:t>主席令第35号）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2.《香港澳门台湾居民在内地（大陆）参加社会保险暂行办法》（人力资源和社会保障部、国家</w:t>
      </w:r>
      <w:r>
        <w:rPr>
          <w:rFonts w:hint="default" w:ascii="Times New Roman" w:hAnsi="Times New Roman" w:eastAsia="仿宋_GB2312" w:cs="Times New Roman"/>
          <w:color w:val="auto"/>
          <w:sz w:val="32"/>
          <w:szCs w:val="32"/>
          <w:highlight w:val="none"/>
          <w:lang w:eastAsia="zh-CN"/>
        </w:rPr>
        <w:t>医疗保障</w:t>
      </w:r>
      <w:r>
        <w:rPr>
          <w:rFonts w:hint="default" w:ascii="Times New Roman" w:hAnsi="Times New Roman" w:eastAsia="仿宋_GB2312" w:cs="Times New Roman"/>
          <w:color w:val="auto"/>
          <w:sz w:val="32"/>
          <w:szCs w:val="32"/>
          <w:highlight w:val="none"/>
        </w:rPr>
        <w:t>局令第41号）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3.《广东省人力资源和社会保障厅 中共广东省委组织部 广东省财政厅 国家税务总局广东省税务局关于进一步完善我省港澳台居民养老保险措施的意见》（粤人社规〔20</w:t>
      </w:r>
      <w:r>
        <w:rPr>
          <w:rFonts w:hint="default" w:ascii="Times New Roman" w:hAnsi="Times New Roman"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48</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《关于印发广东省社会保险费地税全责征收实施办法（暂</w:t>
      </w:r>
      <w:bookmarkStart w:id="0" w:name="_GoBack"/>
      <w:bookmarkEnd w:id="0"/>
      <w:r>
        <w:rPr>
          <w:rFonts w:hint="default" w:ascii="Times New Roman" w:hAnsi="Times New Roman" w:eastAsia="仿宋_GB2312" w:cs="Times New Roman"/>
          <w:color w:val="auto"/>
          <w:sz w:val="32"/>
          <w:szCs w:val="32"/>
          <w:highlight w:val="none"/>
        </w:rPr>
        <w:t>行）的通知》（粤劳社函〔2008〕1789号）</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办理方式</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窗口办理：</w:t>
      </w:r>
      <w:r>
        <w:rPr>
          <w:rFonts w:hint="default" w:ascii="Times New Roman" w:hAnsi="Times New Roman" w:eastAsia="仿宋_GB2312" w:cs="Times New Roman"/>
          <w:color w:val="auto"/>
          <w:sz w:val="32"/>
          <w:szCs w:val="32"/>
          <w:highlight w:val="none"/>
          <w:lang w:eastAsia="zh-CN"/>
        </w:rPr>
        <w:t>社会保险经办机构；</w:t>
      </w:r>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线上办理：广东省人力资源和社会保障厅网站、粤税通小程序。</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eastAsia="zh-CN"/>
        </w:rPr>
        <w:t>材料</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highlight w:val="none"/>
        </w:rPr>
        <w:t>港澳台居民有效证件</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来往</w:t>
      </w:r>
      <w:r>
        <w:rPr>
          <w:rFonts w:hint="default" w:ascii="Times New Roman" w:hAnsi="Times New Roman" w:eastAsia="仿宋_GB2312" w:cs="Times New Roman"/>
          <w:color w:val="auto"/>
          <w:sz w:val="32"/>
          <w:szCs w:val="32"/>
          <w:highlight w:val="none"/>
          <w:lang w:eastAsia="zh-CN"/>
        </w:rPr>
        <w:t>内地通行证或居住证）</w:t>
      </w:r>
      <w:r>
        <w:rPr>
          <w:rFonts w:hint="default" w:ascii="Times New Roman" w:hAnsi="Times New Roman"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val="0"/>
        <w:topLinePunct w:val="0"/>
        <w:autoSpaceDE w:val="0"/>
        <w:autoSpaceDN w:val="0"/>
        <w:bidi w:val="0"/>
        <w:adjustRightInd w:val="0"/>
        <w:spacing w:after="0" w:line="600" w:lineRule="exact"/>
        <w:ind w:firstLine="640" w:firstLineChars="200"/>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2.《港澳台居民一次性趸缴企业职工养老保险费申请表》（见附表）。</w:t>
      </w:r>
    </w:p>
    <w:p>
      <w:pPr>
        <w:keepNext w:val="0"/>
        <w:keepLines w:val="0"/>
        <w:pageBreakBefore w:val="0"/>
        <w:widowControl w:val="0"/>
        <w:numPr>
          <w:ilvl w:val="0"/>
          <w:numId w:val="0"/>
        </w:numPr>
        <w:kinsoku/>
        <w:wordWrap/>
        <w:topLinePunct w:val="0"/>
        <w:bidi w:val="0"/>
        <w:spacing w:line="600" w:lineRule="exact"/>
        <w:ind w:firstLine="640" w:firstLineChars="200"/>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六、窗口</w:t>
      </w:r>
      <w:r>
        <w:rPr>
          <w:rFonts w:hint="default" w:ascii="Times New Roman" w:hAnsi="Times New Roman" w:eastAsia="黑体" w:cs="Times New Roman"/>
          <w:color w:val="auto"/>
          <w:sz w:val="32"/>
          <w:szCs w:val="32"/>
          <w:highlight w:val="none"/>
        </w:rPr>
        <w:t>办理</w:t>
      </w:r>
      <w:r>
        <w:rPr>
          <w:rFonts w:hint="default" w:ascii="Times New Roman" w:hAnsi="Times New Roman" w:eastAsia="黑体" w:cs="Times New Roman"/>
          <w:color w:val="auto"/>
          <w:sz w:val="32"/>
          <w:szCs w:val="32"/>
          <w:highlight w:val="none"/>
          <w:lang w:val="en-US" w:eastAsia="zh-CN"/>
        </w:rPr>
        <w:t>流程</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申请人</w:t>
      </w:r>
      <w:r>
        <w:rPr>
          <w:rFonts w:hint="default" w:ascii="Times New Roman" w:hAnsi="Times New Roman" w:eastAsia="仿宋_GB2312" w:cs="Times New Roman"/>
          <w:color w:val="auto"/>
          <w:sz w:val="32"/>
          <w:szCs w:val="32"/>
          <w:lang w:eastAsia="zh-CN"/>
        </w:rPr>
        <w:t>到社会保险经办机构</w:t>
      </w:r>
      <w:r>
        <w:rPr>
          <w:rFonts w:hint="default" w:ascii="Times New Roman" w:hAnsi="Times New Roman" w:eastAsia="仿宋_GB2312" w:cs="Times New Roman"/>
          <w:color w:val="auto"/>
          <w:sz w:val="32"/>
          <w:szCs w:val="32"/>
          <w:highlight w:val="none"/>
          <w:lang w:eastAsia="zh-CN"/>
        </w:rPr>
        <w:t>提交申请</w:t>
      </w:r>
      <w:r>
        <w:rPr>
          <w:rFonts w:hint="default" w:ascii="Times New Roman" w:hAnsi="Times New Roman" w:eastAsia="仿宋_GB2312" w:cs="Times New Roman"/>
          <w:color w:val="auto"/>
          <w:sz w:val="32"/>
          <w:szCs w:val="32"/>
          <w:highlight w:val="none"/>
          <w:lang w:val="en-US" w:eastAsia="zh-CN"/>
        </w:rPr>
        <w:t>材</w:t>
      </w:r>
      <w:r>
        <w:rPr>
          <w:rFonts w:hint="default" w:ascii="Times New Roman" w:hAnsi="Times New Roman" w:eastAsia="仿宋_GB2312" w:cs="Times New Roman"/>
          <w:color w:val="auto"/>
          <w:sz w:val="32"/>
          <w:szCs w:val="32"/>
          <w:highlight w:val="none"/>
          <w:lang w:eastAsia="zh-CN"/>
        </w:rPr>
        <w:t>料</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topLinePunct w:val="0"/>
        <w:bidi w:val="0"/>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2.工作人员对材料是否符合办理条件进行审核，材</w:t>
      </w:r>
      <w:r>
        <w:rPr>
          <w:rFonts w:hint="default" w:ascii="Times New Roman" w:hAnsi="Times New Roman" w:eastAsia="仿宋_GB2312" w:cs="Times New Roman"/>
          <w:color w:val="auto"/>
          <w:sz w:val="32"/>
          <w:szCs w:val="32"/>
        </w:rPr>
        <w:t>料齐全、符合</w:t>
      </w:r>
      <w:r>
        <w:rPr>
          <w:rFonts w:hint="default" w:ascii="Times New Roman" w:hAnsi="Times New Roman" w:eastAsia="仿宋_GB2312" w:cs="Times New Roman"/>
          <w:color w:val="auto"/>
          <w:sz w:val="32"/>
          <w:szCs w:val="32"/>
          <w:lang w:val="en-US" w:eastAsia="zh-CN"/>
        </w:rPr>
        <w:t>办理条件</w:t>
      </w:r>
      <w:r>
        <w:rPr>
          <w:rFonts w:hint="default" w:ascii="Times New Roman" w:hAnsi="Times New Roman" w:eastAsia="仿宋_GB2312" w:cs="Times New Roman"/>
          <w:color w:val="auto"/>
          <w:sz w:val="32"/>
          <w:szCs w:val="32"/>
        </w:rPr>
        <w:t>的一次性</w:t>
      </w:r>
      <w:r>
        <w:rPr>
          <w:rFonts w:hint="default" w:ascii="Times New Roman" w:hAnsi="Times New Roman" w:eastAsia="仿宋_GB2312" w:cs="Times New Roman"/>
          <w:color w:val="auto"/>
          <w:sz w:val="32"/>
          <w:szCs w:val="32"/>
          <w:lang w:eastAsia="zh-CN"/>
        </w:rPr>
        <w:t>受理</w:t>
      </w:r>
      <w:r>
        <w:rPr>
          <w:rFonts w:hint="default" w:ascii="Times New Roman" w:hAnsi="Times New Roman" w:eastAsia="仿宋_GB2312" w:cs="Times New Roman"/>
          <w:color w:val="auto"/>
          <w:sz w:val="32"/>
          <w:szCs w:val="32"/>
        </w:rPr>
        <w:t>；提交</w:t>
      </w:r>
      <w:r>
        <w:rPr>
          <w:rFonts w:hint="default" w:ascii="Times New Roman" w:hAnsi="Times New Roman" w:eastAsia="仿宋_GB2312" w:cs="Times New Roman"/>
          <w:color w:val="auto"/>
          <w:sz w:val="32"/>
          <w:szCs w:val="32"/>
          <w:highlight w:val="none"/>
          <w:lang w:val="en-US" w:eastAsia="zh-CN"/>
        </w:rPr>
        <w:t>材</w:t>
      </w:r>
      <w:r>
        <w:rPr>
          <w:rFonts w:hint="default" w:ascii="Times New Roman" w:hAnsi="Times New Roman" w:eastAsia="仿宋_GB2312" w:cs="Times New Roman"/>
          <w:color w:val="auto"/>
          <w:sz w:val="32"/>
          <w:szCs w:val="32"/>
        </w:rPr>
        <w:t>料不齐全或不符合</w:t>
      </w:r>
      <w:r>
        <w:rPr>
          <w:rFonts w:hint="default" w:ascii="Times New Roman" w:hAnsi="Times New Roman" w:eastAsia="仿宋_GB2312" w:cs="Times New Roman"/>
          <w:color w:val="auto"/>
          <w:sz w:val="32"/>
          <w:szCs w:val="32"/>
          <w:lang w:val="en-US" w:eastAsia="zh-CN"/>
        </w:rPr>
        <w:t>办理条件</w:t>
      </w:r>
      <w:r>
        <w:rPr>
          <w:rFonts w:hint="default" w:ascii="Times New Roman" w:hAnsi="Times New Roman" w:eastAsia="仿宋_GB2312" w:cs="Times New Roman"/>
          <w:color w:val="auto"/>
          <w:sz w:val="32"/>
          <w:szCs w:val="32"/>
        </w:rPr>
        <w:t>的，一次性告知需补正的内容</w:t>
      </w:r>
      <w:r>
        <w:rPr>
          <w:rFonts w:hint="default" w:ascii="Times New Roman" w:hAnsi="Times New Roman" w:eastAsia="仿宋_GB2312" w:cs="Times New Roman"/>
          <w:color w:val="auto"/>
          <w:sz w:val="32"/>
          <w:szCs w:val="32"/>
          <w:highlight w:val="none"/>
          <w:lang w:eastAsia="zh-CN"/>
        </w:rPr>
        <w:t>；</w:t>
      </w:r>
    </w:p>
    <w:p>
      <w:pPr>
        <w:spacing w:line="600" w:lineRule="exact"/>
        <w:ind w:firstLine="640" w:firstLineChars="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审核通过的</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按规定办理缴费</w:t>
      </w:r>
      <w:r>
        <w:rPr>
          <w:rFonts w:hint="default" w:ascii="Times New Roman" w:hAnsi="Times New Roman" w:eastAsia="仿宋_GB2312" w:cs="Times New Roman"/>
          <w:color w:val="auto"/>
          <w:sz w:val="32"/>
          <w:szCs w:val="32"/>
          <w:highlight w:val="none"/>
        </w:rPr>
        <w:t>。</w:t>
      </w:r>
    </w:p>
    <w:p>
      <w:pPr>
        <w:spacing w:line="240" w:lineRule="auto"/>
        <w:ind w:firstLine="640" w:firstLineChars="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drawing>
          <wp:inline distT="0" distB="0" distL="114300" distR="114300">
            <wp:extent cx="5144770" cy="2691130"/>
            <wp:effectExtent l="0" t="0" r="6350" b="6350"/>
            <wp:docPr id="3" name="图片 3" descr="流程图2"/>
            <wp:cNvGraphicFramePr/>
            <a:graphic xmlns:a="http://schemas.openxmlformats.org/drawingml/2006/main">
              <a:graphicData uri="http://schemas.openxmlformats.org/drawingml/2006/picture">
                <pic:pic xmlns:pic="http://schemas.openxmlformats.org/drawingml/2006/picture">
                  <pic:nvPicPr>
                    <pic:cNvPr id="3" name="图片 3" descr="流程图2"/>
                    <pic:cNvPicPr/>
                  </pic:nvPicPr>
                  <pic:blipFill>
                    <a:blip r:embed="rId5"/>
                    <a:stretch>
                      <a:fillRect/>
                    </a:stretch>
                  </pic:blipFill>
                  <pic:spPr>
                    <a:xfrm>
                      <a:off x="0" y="0"/>
                      <a:ext cx="5144770" cy="26911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leftChars="0" w:firstLine="640" w:firstLineChars="200"/>
        <w:textAlignment w:val="baseline"/>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七、线上办理流程</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3" w:firstLineChars="200"/>
        <w:textAlignment w:val="baseline"/>
        <w:rPr>
          <w:rFonts w:hint="default" w:ascii="Times New Roman" w:hAnsi="Times New Roman" w:eastAsia="楷体_GB2312" w:cs="Times New Roman"/>
          <w:b/>
          <w:bCs/>
          <w:color w:val="auto"/>
          <w:sz w:val="32"/>
          <w:szCs w:val="32"/>
          <w:shd w:val="clear" w:color="auto" w:fill="FFFFFF"/>
          <w:lang w:eastAsia="zh-CN"/>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楷体_GB2312" w:cs="Times New Roman"/>
          <w:b/>
          <w:bCs/>
          <w:color w:val="auto"/>
          <w:sz w:val="32"/>
          <w:szCs w:val="32"/>
          <w:shd w:val="clear" w:color="auto" w:fill="FFFFFF"/>
          <w:lang w:eastAsia="zh-CN"/>
        </w:rPr>
        <w:t>申报流程</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3"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shd w:val="clear" w:color="auto" w:fill="FFFFFF"/>
        </w:rPr>
        <w:t>登陆广东省人力资源和社会保障厅网站</w:t>
      </w:r>
      <w:r>
        <w:rPr>
          <w:rFonts w:hint="default" w:ascii="Times New Roman" w:hAnsi="Times New Roman" w:eastAsia="仿宋_GB2312" w:cs="Times New Roman"/>
          <w:color w:val="auto"/>
          <w:sz w:val="32"/>
          <w:szCs w:val="32"/>
          <w:shd w:val="clear" w:color="auto" w:fill="FFFFFF"/>
        </w:rPr>
        <w:t>，点击右侧【广东社保服务】办理。</w:t>
      </w:r>
      <w:r>
        <w:rPr>
          <w:rFonts w:hint="default" w:ascii="Times New Roman" w:hAnsi="Times New Roman" w:eastAsia="仿宋_GB2312" w:cs="Times New Roman"/>
          <w:color w:val="auto"/>
          <w:sz w:val="32"/>
          <w:szCs w:val="32"/>
          <w:shd w:val="clear" w:color="auto" w:fill="FFFFFF"/>
          <w:lang w:eastAsia="zh-CN"/>
        </w:rPr>
        <w:t>路径：</w:t>
      </w:r>
      <w:r>
        <w:rPr>
          <w:rFonts w:hint="default" w:ascii="Times New Roman" w:hAnsi="Times New Roman" w:eastAsia="仿宋_GB2312" w:cs="Times New Roman"/>
          <w:color w:val="auto"/>
          <w:sz w:val="32"/>
          <w:szCs w:val="32"/>
        </w:rPr>
        <w:t>社会保险费缴纳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一次性趸缴职工养老保险费申报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网址</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lang w:val="en-US" w:eastAsia="zh-CN"/>
        </w:rPr>
        <w:t>http://hrss.gd.gov.cn/</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3" w:firstLineChars="200"/>
        <w:textAlignment w:val="baseline"/>
        <w:rPr>
          <w:rFonts w:hint="default" w:ascii="Times New Roman" w:hAnsi="Times New Roman" w:eastAsia="楷体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楷体_GB2312" w:cs="Times New Roman"/>
          <w:b/>
          <w:bCs/>
          <w:color w:val="auto"/>
          <w:sz w:val="32"/>
          <w:szCs w:val="32"/>
          <w:lang w:eastAsia="zh-CN"/>
        </w:rPr>
        <w:t>缴费流程</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3" w:firstLineChars="200"/>
        <w:textAlignment w:val="baseline"/>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highlight w:val="none"/>
          <w:lang w:eastAsia="zh-CN"/>
        </w:rPr>
        <w:t>登录</w:t>
      </w:r>
      <w:r>
        <w:rPr>
          <w:rFonts w:hint="default" w:ascii="Times New Roman" w:hAnsi="Times New Roman" w:eastAsia="仿宋_GB2312" w:cs="Times New Roman"/>
          <w:b/>
          <w:bCs/>
          <w:color w:val="auto"/>
          <w:sz w:val="32"/>
          <w:szCs w:val="32"/>
          <w:highlight w:val="none"/>
          <w:lang w:val="en-US" w:eastAsia="zh-CN"/>
        </w:rPr>
        <w:t>“粤税通”小程序</w:t>
      </w:r>
      <w:r>
        <w:rPr>
          <w:rFonts w:hint="default" w:ascii="Times New Roman" w:hAnsi="Times New Roman" w:eastAsia="仿宋_GB2312" w:cs="Times New Roman"/>
          <w:b w:val="0"/>
          <w:bCs w:val="0"/>
          <w:color w:val="auto"/>
          <w:sz w:val="32"/>
          <w:szCs w:val="32"/>
          <w:highlight w:val="none"/>
          <w:lang w:val="en-US" w:eastAsia="zh-CN"/>
        </w:rPr>
        <w:t>办理</w:t>
      </w:r>
      <w:r>
        <w:rPr>
          <w:rFonts w:hint="default" w:ascii="Times New Roman" w:hAnsi="Times New Roman" w:eastAsia="仿宋_GB2312" w:cs="Times New Roman"/>
          <w:b w:val="0"/>
          <w:bCs w:val="0"/>
          <w:color w:val="auto"/>
          <w:sz w:val="32"/>
          <w:szCs w:val="32"/>
        </w:rPr>
        <w:t>，路径：全部功能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rPr>
        <w:t>我的社保</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sz w:val="32"/>
          <w:szCs w:val="32"/>
        </w:rPr>
        <w:t>托收单清缴</w:t>
      </w:r>
      <w:r>
        <w:rPr>
          <w:rFonts w:hint="default" w:ascii="Times New Roman" w:hAnsi="Times New Roman" w:eastAsia="仿宋_GB2312" w:cs="Times New Roman"/>
          <w:b w:val="0"/>
          <w:bCs w:val="0"/>
          <w:color w:val="auto"/>
          <w:sz w:val="32"/>
          <w:szCs w:val="32"/>
          <w:lang w:eastAsia="zh-CN"/>
        </w:rPr>
        <w:t>。</w:t>
      </w:r>
    </w:p>
    <w:p>
      <w:pPr>
        <w:tabs>
          <w:tab w:val="left" w:pos="0"/>
          <w:tab w:val="left" w:pos="210"/>
        </w:tabs>
        <w:spacing w:line="600" w:lineRule="exact"/>
        <w:ind w:left="0" w:leftChars="0"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color w:val="auto"/>
          <w:sz w:val="32"/>
          <w:szCs w:val="32"/>
          <w:highlight w:val="none"/>
          <w:lang w:eastAsia="zh-CN"/>
        </w:rPr>
        <w:t>八、</w:t>
      </w:r>
      <w:r>
        <w:rPr>
          <w:rFonts w:hint="default" w:ascii="Times New Roman" w:hAnsi="Times New Roman" w:eastAsia="黑体" w:cs="Times New Roman"/>
          <w:sz w:val="32"/>
          <w:szCs w:val="32"/>
        </w:rPr>
        <w:t>办理时限</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黑体" w:cs="Times New Roman"/>
          <w:color w:val="auto"/>
          <w:sz w:val="32"/>
          <w:szCs w:val="32"/>
          <w:highlight w:val="none"/>
          <w:lang w:eastAsia="zh-CN"/>
        </w:rPr>
      </w:pPr>
      <w:r>
        <w:rPr>
          <w:rFonts w:hint="default" w:ascii="Times New Roman" w:hAnsi="Times New Roman" w:eastAsia="仿宋_GB2312" w:cs="Times New Roman"/>
          <w:sz w:val="32"/>
          <w:szCs w:val="32"/>
        </w:rPr>
        <w:t>即时办结。</w:t>
      </w:r>
    </w:p>
    <w:p>
      <w:pPr>
        <w:keepNext w:val="0"/>
        <w:keepLines w:val="0"/>
        <w:pageBreakBefore w:val="0"/>
        <w:widowControl w:val="0"/>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九、收费项目信息</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不收费。</w:t>
      </w:r>
    </w:p>
    <w:p>
      <w:pPr>
        <w:pStyle w:val="2"/>
        <w:keepNext w:val="0"/>
        <w:keepLines w:val="0"/>
        <w:pageBreakBefore w:val="0"/>
        <w:widowControl/>
        <w:numPr>
          <w:ilvl w:val="0"/>
          <w:numId w:val="0"/>
        </w:numPr>
        <w:kinsoku/>
        <w:wordWrap/>
        <w:overflowPunct w:val="0"/>
        <w:topLinePunct w:val="0"/>
        <w:autoSpaceDE w:val="0"/>
        <w:autoSpaceDN w:val="0"/>
        <w:bidi w:val="0"/>
        <w:adjustRightInd w:val="0"/>
        <w:snapToGrid/>
        <w:spacing w:line="600" w:lineRule="exact"/>
        <w:ind w:firstLine="640" w:firstLineChars="200"/>
        <w:textAlignment w:val="baseline"/>
        <w:rPr>
          <w:rFonts w:hint="default" w:ascii="Times New Roman" w:hAnsi="Times New Roman" w:eastAsia="黑体" w:cs="Times New Roman"/>
          <w:color w:val="auto"/>
          <w:sz w:val="32"/>
          <w:szCs w:val="32"/>
          <w:highlight w:val="none"/>
          <w:lang w:val="en-US" w:eastAsia="zh-CN" w:bidi="ar-SA"/>
        </w:rPr>
      </w:pPr>
      <w:r>
        <w:rPr>
          <w:rFonts w:hint="default" w:ascii="Times New Roman" w:hAnsi="Times New Roman" w:eastAsia="黑体" w:cs="Times New Roman"/>
          <w:color w:val="auto"/>
          <w:sz w:val="32"/>
          <w:szCs w:val="32"/>
          <w:highlight w:val="none"/>
          <w:lang w:val="en-US" w:eastAsia="zh-CN" w:bidi="ar-SA"/>
        </w:rPr>
        <w:t>十、咨询、监督投诉方式</w:t>
      </w:r>
    </w:p>
    <w:p>
      <w:pPr>
        <w:spacing w:line="400" w:lineRule="atLeast"/>
        <w:ind w:firstLine="640" w:firstLineChars="200"/>
        <w:jc w:val="lef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rPr>
        <w:t>纳税服务热线12366</w:t>
      </w:r>
      <w:r>
        <w:rPr>
          <w:rFonts w:hint="default" w:ascii="Times New Roman" w:hAnsi="Times New Roman" w:eastAsia="仿宋_GB2312" w:cs="Times New Roman"/>
          <w:color w:val="auto"/>
          <w:sz w:val="32"/>
          <w:szCs w:val="32"/>
          <w:lang w:eastAsia="zh-CN"/>
        </w:rPr>
        <w:t>、社保</w:t>
      </w:r>
      <w:r>
        <w:rPr>
          <w:rFonts w:hint="default" w:ascii="Times New Roman" w:hAnsi="Times New Roman" w:eastAsia="仿宋_GB2312" w:cs="Times New Roman"/>
          <w:color w:val="auto"/>
          <w:sz w:val="32"/>
          <w:szCs w:val="32"/>
        </w:rPr>
        <w:t>服务热线123</w:t>
      </w:r>
      <w:r>
        <w:rPr>
          <w:rFonts w:hint="default" w:ascii="Times New Roman" w:hAnsi="Times New Roman" w:eastAsia="仿宋_GB2312" w:cs="Times New Roman"/>
          <w:color w:val="auto"/>
          <w:sz w:val="32"/>
          <w:szCs w:val="32"/>
          <w:lang w:val="en-US" w:eastAsia="zh-CN"/>
        </w:rPr>
        <w:t>33</w:t>
      </w:r>
      <w:r>
        <w:rPr>
          <w:rFonts w:hint="default" w:ascii="Times New Roman" w:hAnsi="Times New Roman" w:eastAsia="仿宋_GB2312" w:cs="Times New Roman"/>
          <w:color w:val="auto"/>
          <w:sz w:val="32"/>
          <w:szCs w:val="32"/>
          <w:highlight w:val="none"/>
          <w:lang w:val="en-US" w:eastAsia="zh-CN"/>
        </w:rPr>
        <w:t>。</w:t>
      </w:r>
    </w:p>
    <w:p>
      <w:pPr>
        <w:spacing w:line="400" w:lineRule="atLeast"/>
        <w:jc w:val="left"/>
        <w:rPr>
          <w:rFonts w:hint="default" w:ascii="Times New Roman" w:hAnsi="Times New Roman" w:eastAsia="仿宋_GB2312" w:cs="Times New Roman"/>
          <w:color w:val="auto"/>
          <w:sz w:val="32"/>
          <w:szCs w:val="32"/>
          <w:highlight w:val="none"/>
          <w:lang w:val="en-US" w:eastAsia="zh-CN"/>
        </w:rPr>
      </w:pPr>
    </w:p>
    <w:p>
      <w:pPr>
        <w:rPr>
          <w:rFonts w:hint="default" w:ascii="Times New Roman" w:hAnsi="Times New Roman" w:eastAsia="仿宋_GB2312" w:cs="Times New Roman"/>
          <w:b/>
          <w:bCs/>
          <w:color w:val="auto"/>
          <w:sz w:val="32"/>
          <w:szCs w:val="32"/>
          <w:lang w:val="en-US" w:eastAsia="zh-CN"/>
        </w:rPr>
      </w:pPr>
    </w:p>
    <w:p>
      <w:pPr>
        <w:rPr>
          <w:rFonts w:hint="default" w:ascii="Times New Roman" w:hAnsi="Times New Roman" w:eastAsia="仿宋_GB2312" w:cs="Times New Roman"/>
          <w:b/>
          <w:bCs/>
          <w:color w:val="auto"/>
          <w:sz w:val="32"/>
          <w:szCs w:val="32"/>
          <w:lang w:val="en-US" w:eastAsia="zh-CN"/>
        </w:rPr>
      </w:pPr>
    </w:p>
    <w:p>
      <w:pPr>
        <w:rPr>
          <w:rFonts w:hint="default" w:ascii="Times New Roman" w:hAnsi="Times New Roman" w:eastAsia="仿宋_GB2312" w:cs="Times New Roman"/>
          <w:b/>
          <w:bCs/>
          <w:color w:val="auto"/>
          <w:sz w:val="32"/>
          <w:szCs w:val="32"/>
          <w:lang w:val="en-US" w:eastAsia="zh-CN"/>
        </w:rPr>
      </w:pPr>
    </w:p>
    <w:p>
      <w:pPr>
        <w:rPr>
          <w:rFonts w:hint="default" w:ascii="Times New Roman" w:hAnsi="Times New Roman" w:eastAsia="仿宋_GB2312" w:cs="Times New Roman"/>
          <w:b/>
          <w:bCs/>
          <w:color w:val="auto"/>
          <w:sz w:val="32"/>
          <w:szCs w:val="32"/>
          <w:lang w:val="en-US" w:eastAsia="zh-CN"/>
        </w:rPr>
      </w:pPr>
    </w:p>
    <w:p>
      <w:pPr>
        <w:rPr>
          <w:rFonts w:hint="default" w:ascii="Times New Roman" w:hAnsi="Times New Roman" w:eastAsia="仿宋_GB2312" w:cs="Times New Roman"/>
          <w:b/>
          <w:bCs/>
          <w:color w:val="auto"/>
          <w:sz w:val="32"/>
          <w:szCs w:val="32"/>
          <w:lang w:val="en-US" w:eastAsia="zh-CN"/>
        </w:rPr>
      </w:pPr>
    </w:p>
    <w:p>
      <w:pPr>
        <w:rPr>
          <w:rFonts w:hint="default" w:ascii="Times New Roman" w:hAnsi="Times New Roman" w:eastAsia="仿宋_GB2312" w:cs="Times New Roman"/>
          <w:b/>
          <w:bCs/>
          <w:color w:val="auto"/>
          <w:sz w:val="32"/>
          <w:szCs w:val="32"/>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附表</w:t>
      </w:r>
    </w:p>
    <w:p>
      <w:pPr>
        <w:pStyle w:val="3"/>
        <w:numPr>
          <w:ilvl w:val="0"/>
          <w:numId w:val="0"/>
        </w:numPr>
        <w:ind w:left="0" w:leftChars="0" w:firstLine="0" w:firstLineChars="0"/>
        <w:jc w:val="center"/>
        <w:rPr>
          <w:rFonts w:hint="default" w:ascii="Times New Roman" w:hAnsi="Times New Roman" w:eastAsia="创艺简标宋" w:cs="Times New Roman"/>
          <w:color w:val="auto"/>
          <w:w w:val="95"/>
          <w:sz w:val="40"/>
          <w:szCs w:val="40"/>
        </w:rPr>
      </w:pPr>
      <w:r>
        <w:rPr>
          <w:rFonts w:hint="default" w:ascii="Times New Roman" w:hAnsi="Times New Roman" w:eastAsia="创艺简标宋" w:cs="Times New Roman"/>
          <w:color w:val="auto"/>
          <w:w w:val="95"/>
          <w:sz w:val="40"/>
          <w:szCs w:val="40"/>
          <w:lang w:eastAsia="zh-CN"/>
        </w:rPr>
        <w:t>港澳台居民一次性趸缴企业职工养老保险费</w:t>
      </w:r>
      <w:r>
        <w:rPr>
          <w:rFonts w:hint="default" w:ascii="Times New Roman" w:hAnsi="Times New Roman" w:eastAsia="创艺简标宋" w:cs="Times New Roman"/>
          <w:color w:val="auto"/>
          <w:w w:val="95"/>
          <w:sz w:val="40"/>
          <w:szCs w:val="40"/>
        </w:rPr>
        <w:t>申</w:t>
      </w:r>
      <w:r>
        <w:rPr>
          <w:rFonts w:hint="default" w:ascii="Times New Roman" w:hAnsi="Times New Roman" w:eastAsia="创艺简标宋" w:cs="Times New Roman"/>
          <w:color w:val="auto"/>
          <w:w w:val="95"/>
          <w:sz w:val="40"/>
          <w:szCs w:val="40"/>
          <w:lang w:eastAsia="zh-CN"/>
        </w:rPr>
        <w:t>请</w:t>
      </w:r>
      <w:r>
        <w:rPr>
          <w:rFonts w:hint="default" w:ascii="Times New Roman" w:hAnsi="Times New Roman" w:eastAsia="创艺简标宋" w:cs="Times New Roman"/>
          <w:color w:val="auto"/>
          <w:w w:val="95"/>
          <w:sz w:val="40"/>
          <w:szCs w:val="40"/>
        </w:rPr>
        <w:t>表</w:t>
      </w:r>
    </w:p>
    <w:tbl>
      <w:tblPr>
        <w:tblStyle w:val="7"/>
        <w:tblW w:w="95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241"/>
        <w:gridCol w:w="381"/>
        <w:gridCol w:w="775"/>
        <w:gridCol w:w="1424"/>
        <w:gridCol w:w="2094"/>
        <w:gridCol w:w="2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姓</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名</w:t>
            </w:r>
          </w:p>
        </w:tc>
        <w:tc>
          <w:tcPr>
            <w:tcW w:w="1241"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156" w:type="dxa"/>
            <w:gridSpan w:val="2"/>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性</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lang w:eastAsia="zh-CN"/>
              </w:rPr>
              <w:t>别</w:t>
            </w:r>
          </w:p>
        </w:tc>
        <w:tc>
          <w:tcPr>
            <w:tcW w:w="1424"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textAlignment w:val="auto"/>
              <w:outlineLvl w:val="9"/>
              <w:rPr>
                <w:rFonts w:hint="default" w:ascii="Times New Roman" w:hAnsi="Times New Roman" w:eastAsia="宋体" w:cs="Times New Roman"/>
                <w:color w:val="auto"/>
                <w:kern w:val="0"/>
                <w:sz w:val="24"/>
                <w:szCs w:val="24"/>
              </w:rPr>
            </w:pPr>
          </w:p>
        </w:tc>
        <w:tc>
          <w:tcPr>
            <w:tcW w:w="2094"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outlineLvl w:val="9"/>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证件号码</w:t>
            </w:r>
          </w:p>
        </w:tc>
        <w:tc>
          <w:tcPr>
            <w:tcW w:w="2626" w:type="dxa"/>
            <w:tcBorders>
              <w:top w:val="single" w:color="auto" w:sz="4" w:space="0"/>
              <w:left w:val="nil"/>
              <w:bottom w:val="single" w:color="auto" w:sz="4" w:space="0"/>
              <w:right w:val="single" w:color="auto" w:sz="4" w:space="0"/>
            </w:tcBorders>
            <w:noWrap w:val="0"/>
            <w:vAlign w:val="center"/>
          </w:tcPr>
          <w:p>
            <w:pPr>
              <w:widowControl/>
              <w:wordWrap/>
              <w:adjustRightInd/>
              <w:snapToGrid/>
              <w:spacing w:before="0" w:after="0" w:line="240" w:lineRule="exact"/>
              <w:ind w:left="0" w:leftChars="0" w:right="0" w:firstLine="0" w:firstLineChars="0"/>
              <w:jc w:val="center"/>
              <w:textAlignment w:val="auto"/>
              <w:outlineLvl w:val="9"/>
              <w:rPr>
                <w:rFonts w:hint="default" w:ascii="Times New Roman" w:hAnsi="Times New Roman" w:eastAsia="宋体" w:cs="Times New Roman"/>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jc w:val="center"/>
        </w:trPr>
        <w:tc>
          <w:tcPr>
            <w:tcW w:w="1035" w:type="dxa"/>
            <w:tcBorders>
              <w:top w:val="nil"/>
              <w:left w:val="single" w:color="auto" w:sz="4" w:space="0"/>
              <w:bottom w:val="single" w:color="auto" w:sz="4" w:space="0"/>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出</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lang w:eastAsia="zh-CN"/>
              </w:rPr>
              <w:t>生年</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lang w:eastAsia="zh-CN"/>
              </w:rPr>
              <w:t>月</w:t>
            </w:r>
          </w:p>
        </w:tc>
        <w:tc>
          <w:tcPr>
            <w:tcW w:w="3821" w:type="dxa"/>
            <w:gridSpan w:val="4"/>
            <w:tcBorders>
              <w:top w:val="nil"/>
              <w:left w:val="single" w:color="auto" w:sz="4" w:space="0"/>
              <w:bottom w:val="single" w:color="auto" w:sz="4" w:space="0"/>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rPr>
            </w:pPr>
          </w:p>
        </w:tc>
        <w:tc>
          <w:tcPr>
            <w:tcW w:w="2094" w:type="dxa"/>
            <w:tcBorders>
              <w:top w:val="nil"/>
              <w:left w:val="nil"/>
              <w:bottom w:val="single" w:color="auto" w:sz="4" w:space="0"/>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cs="Times New Roman"/>
                <w:color w:val="auto"/>
                <w:kern w:val="0"/>
                <w:sz w:val="24"/>
                <w:szCs w:val="24"/>
                <w:lang w:val="en-US" w:eastAsia="zh-CN"/>
              </w:rPr>
              <w:t>手机号码</w:t>
            </w:r>
          </w:p>
        </w:tc>
        <w:tc>
          <w:tcPr>
            <w:tcW w:w="2626" w:type="dxa"/>
            <w:tcBorders>
              <w:top w:val="nil"/>
              <w:left w:val="nil"/>
              <w:bottom w:val="single" w:color="auto" w:sz="4" w:space="0"/>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jc w:val="center"/>
        </w:trPr>
        <w:tc>
          <w:tcPr>
            <w:tcW w:w="1035" w:type="dxa"/>
            <w:tcBorders>
              <w:top w:val="single" w:color="auto" w:sz="4" w:space="0"/>
              <w:left w:val="single" w:color="auto" w:sz="4" w:space="0"/>
              <w:bottom w:val="nil"/>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户</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籍</w:t>
            </w:r>
          </w:p>
          <w:p>
            <w:pPr>
              <w:widowControl/>
              <w:ind w:left="0" w:leftChars="0" w:right="0"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类</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lang w:eastAsia="zh-CN"/>
              </w:rPr>
              <w:t>型</w:t>
            </w:r>
          </w:p>
        </w:tc>
        <w:tc>
          <w:tcPr>
            <w:tcW w:w="3821" w:type="dxa"/>
            <w:gridSpan w:val="4"/>
            <w:tcBorders>
              <w:top w:val="single" w:color="auto" w:sz="4" w:space="0"/>
              <w:left w:val="nil"/>
              <w:bottom w:val="nil"/>
              <w:right w:val="single" w:color="auto" w:sz="4" w:space="0"/>
            </w:tcBorders>
            <w:noWrap w:val="0"/>
            <w:vAlign w:val="center"/>
          </w:tcPr>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港澳台居民</w:t>
            </w:r>
          </w:p>
        </w:tc>
        <w:tc>
          <w:tcPr>
            <w:tcW w:w="2094" w:type="dxa"/>
            <w:tcBorders>
              <w:top w:val="single" w:color="auto" w:sz="4" w:space="0"/>
              <w:left w:val="nil"/>
              <w:bottom w:val="nil"/>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最后参保地</w:t>
            </w:r>
          </w:p>
        </w:tc>
        <w:tc>
          <w:tcPr>
            <w:tcW w:w="2626" w:type="dxa"/>
            <w:tcBorders>
              <w:top w:val="single" w:color="auto" w:sz="4" w:space="0"/>
              <w:left w:val="nil"/>
              <w:bottom w:val="nil"/>
              <w:right w:val="single" w:color="auto" w:sz="4" w:space="0"/>
            </w:tcBorders>
            <w:noWrap w:val="0"/>
            <w:vAlign w:val="center"/>
          </w:tcPr>
          <w:p>
            <w:pPr>
              <w:widowControl/>
              <w:ind w:left="0" w:leftChars="0" w:right="0" w:firstLine="0" w:firstLineChars="0"/>
              <w:jc w:val="left"/>
              <w:rPr>
                <w:rFonts w:hint="default" w:ascii="Times New Roman" w:hAnsi="Times New Roman" w:eastAsia="宋体" w:cs="Times New Roman"/>
                <w:color w:val="auto"/>
                <w:kern w:val="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6"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参加</w:t>
            </w:r>
            <w:r>
              <w:rPr>
                <w:rFonts w:hint="default" w:ascii="Times New Roman" w:hAnsi="Times New Roman" w:eastAsia="宋体" w:cs="Times New Roman"/>
                <w:color w:val="auto"/>
                <w:kern w:val="0"/>
                <w:sz w:val="24"/>
                <w:szCs w:val="24"/>
                <w:lang w:val="en-US" w:eastAsia="zh-CN"/>
              </w:rPr>
              <w:t>企业职工</w:t>
            </w:r>
            <w:r>
              <w:rPr>
                <w:rFonts w:hint="default" w:ascii="Times New Roman" w:hAnsi="Times New Roman" w:eastAsia="宋体" w:cs="Times New Roman"/>
                <w:color w:val="auto"/>
                <w:kern w:val="0"/>
                <w:sz w:val="24"/>
                <w:szCs w:val="24"/>
              </w:rPr>
              <w:t>基本养老保险情况</w:t>
            </w:r>
          </w:p>
        </w:tc>
        <w:tc>
          <w:tcPr>
            <w:tcW w:w="8541" w:type="dxa"/>
            <w:gridSpan w:val="6"/>
            <w:tcBorders>
              <w:top w:val="single" w:color="auto" w:sz="4" w:space="0"/>
              <w:left w:val="nil"/>
              <w:bottom w:val="nil"/>
              <w:right w:val="single" w:color="auto" w:sz="4" w:space="0"/>
            </w:tcBorders>
            <w:noWrap w:val="0"/>
            <w:vAlign w:val="center"/>
          </w:tcPr>
          <w:p>
            <w:pPr>
              <w:widowControl/>
              <w:wordWrap/>
              <w:adjustRightInd/>
              <w:snapToGrid/>
              <w:spacing w:before="0" w:after="0" w:line="240" w:lineRule="auto"/>
              <w:ind w:left="0" w:leftChars="0" w:right="0" w:firstLine="0" w:firstLineChars="0"/>
              <w:jc w:val="left"/>
              <w:textAlignment w:val="auto"/>
              <w:outlineLvl w:val="9"/>
              <w:rPr>
                <w:rFonts w:hint="default" w:ascii="Times New Roman" w:hAnsi="Times New Roman" w:eastAsia="宋体" w:cs="Times New Roman"/>
                <w:color w:val="auto"/>
                <w:kern w:val="0"/>
                <w:sz w:val="24"/>
                <w:szCs w:val="24"/>
              </w:rPr>
            </w:pPr>
          </w:p>
          <w:p>
            <w:pPr>
              <w:widowControl/>
              <w:wordWrap/>
              <w:adjustRightInd/>
              <w:snapToGrid/>
              <w:spacing w:before="0" w:after="0" w:line="240" w:lineRule="auto"/>
              <w:ind w:left="0" w:leftChars="0" w:right="0" w:firstLine="0" w:firstLineChars="0"/>
              <w:jc w:val="left"/>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□从未参保   </w:t>
            </w:r>
            <w:r>
              <w:rPr>
                <w:rFonts w:hint="default" w:ascii="Times New Roman" w:hAnsi="Times New Roman" w:eastAsia="宋体"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 xml:space="preserve">     </w:t>
            </w:r>
          </w:p>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□已在</w:t>
            </w:r>
            <w:r>
              <w:rPr>
                <w:rFonts w:hint="default" w:ascii="Times New Roman" w:hAnsi="Times New Roman" w:eastAsia="宋体" w:cs="Times New Roman"/>
                <w:color w:val="auto"/>
                <w:kern w:val="0"/>
                <w:sz w:val="24"/>
                <w:szCs w:val="24"/>
                <w:lang w:val="en-US" w:eastAsia="zh-CN"/>
              </w:rPr>
              <w:t>广东</w:t>
            </w:r>
            <w:r>
              <w:rPr>
                <w:rFonts w:hint="default" w:ascii="Times New Roman" w:hAnsi="Times New Roman" w:eastAsia="宋体" w:cs="Times New Roman"/>
                <w:color w:val="auto"/>
                <w:kern w:val="0"/>
                <w:sz w:val="24"/>
                <w:szCs w:val="24"/>
              </w:rPr>
              <w:t>省      市      县（区）参保</w:t>
            </w:r>
          </w:p>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□已在    省      市      县（区）参保</w:t>
            </w:r>
          </w:p>
          <w:p>
            <w:pPr>
              <w:widowControl/>
              <w:jc w:val="left"/>
              <w:rPr>
                <w:rFonts w:hint="default" w:ascii="Times New Roman" w:hAnsi="Times New Roman" w:cs="Times New Roman"/>
              </w:rPr>
            </w:pPr>
          </w:p>
          <w:p>
            <w:pPr>
              <w:widowControl/>
              <w:jc w:val="left"/>
              <w:rPr>
                <w:rFonts w:hint="default" w:ascii="Times New Roman" w:hAnsi="Times New Roman" w:cs="Times New Roman"/>
              </w:rPr>
            </w:pPr>
          </w:p>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2657" w:type="dxa"/>
            <w:gridSpan w:val="3"/>
            <w:tcBorders>
              <w:top w:val="single" w:color="auto" w:sz="4" w:space="0"/>
              <w:left w:val="single" w:color="auto" w:sz="4" w:space="0"/>
              <w:bottom w:val="single" w:color="auto" w:sz="4" w:space="0"/>
              <w:right w:val="single" w:color="auto" w:sz="4" w:space="0"/>
            </w:tcBorders>
            <w:noWrap w:val="0"/>
            <w:vAlign w:val="center"/>
          </w:tcPr>
          <w:p>
            <w:pPr>
              <w:widowControl/>
              <w:ind w:left="0" w:leftChars="0" w:right="0"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趸缴起止时间</w:t>
            </w:r>
          </w:p>
        </w:tc>
        <w:tc>
          <w:tcPr>
            <w:tcW w:w="6919" w:type="dxa"/>
            <w:gridSpan w:val="4"/>
            <w:tcBorders>
              <w:top w:val="single" w:color="auto" w:sz="4" w:space="0"/>
              <w:left w:val="nil"/>
              <w:bottom w:val="single" w:color="auto" w:sz="4" w:space="0"/>
              <w:right w:val="single" w:color="auto" w:sz="4" w:space="0"/>
            </w:tcBorders>
            <w:noWrap w:val="0"/>
            <w:vAlign w:val="center"/>
          </w:tcPr>
          <w:p>
            <w:pPr>
              <w:widowControl/>
              <w:ind w:left="0" w:leftChars="0" w:right="0" w:firstLine="0" w:firstLineChars="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3" w:hRule="atLeast"/>
          <w:jc w:val="center"/>
        </w:trPr>
        <w:tc>
          <w:tcPr>
            <w:tcW w:w="9576"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right="0"/>
              <w:jc w:val="left"/>
              <w:rPr>
                <w:rFonts w:hint="default" w:ascii="Times New Roman" w:hAnsi="Times New Roman" w:eastAsia="宋体" w:cs="Times New Roman"/>
                <w:color w:val="auto"/>
                <w:kern w:val="0"/>
                <w:sz w:val="24"/>
                <w:szCs w:val="24"/>
              </w:rPr>
            </w:pPr>
          </w:p>
          <w:p>
            <w:pPr>
              <w:widowControl/>
              <w:spacing w:line="360" w:lineRule="auto"/>
              <w:ind w:right="0" w:firstLine="720" w:firstLineChars="3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以上填写内容真实无误，如有虚假愿承担法律责任。</w:t>
            </w:r>
          </w:p>
          <w:p>
            <w:pPr>
              <w:widowControl/>
              <w:ind w:right="0" w:firstLine="720" w:firstLineChars="300"/>
              <w:jc w:val="left"/>
              <w:rPr>
                <w:rFonts w:hint="default" w:ascii="Times New Roman" w:hAnsi="Times New Roman" w:eastAsia="宋体" w:cs="Times New Roman"/>
                <w:color w:val="auto"/>
                <w:kern w:val="0"/>
                <w:sz w:val="24"/>
                <w:szCs w:val="24"/>
              </w:rPr>
            </w:pPr>
          </w:p>
          <w:p>
            <w:pPr>
              <w:widowControl/>
              <w:ind w:right="0" w:firstLine="720" w:firstLineChars="300"/>
              <w:jc w:val="left"/>
              <w:rPr>
                <w:rFonts w:hint="default" w:ascii="Times New Roman" w:hAnsi="Times New Roman" w:eastAsia="宋体" w:cs="Times New Roman"/>
                <w:color w:val="auto"/>
                <w:kern w:val="0"/>
                <w:sz w:val="24"/>
                <w:szCs w:val="24"/>
              </w:rPr>
            </w:pPr>
          </w:p>
          <w:p>
            <w:pPr>
              <w:widowControl/>
              <w:ind w:right="0" w:firstLine="720" w:firstLineChars="300"/>
              <w:jc w:val="left"/>
              <w:rPr>
                <w:rFonts w:hint="default" w:ascii="Times New Roman" w:hAnsi="Times New Roman" w:eastAsia="宋体" w:cs="Times New Roman"/>
                <w:color w:val="auto"/>
                <w:kern w:val="0"/>
                <w:sz w:val="20"/>
              </w:rPr>
            </w:pPr>
            <w:r>
              <w:rPr>
                <w:rFonts w:hint="default" w:ascii="Times New Roman" w:hAnsi="Times New Roman" w:eastAsia="宋体" w:cs="Times New Roman"/>
                <w:color w:val="auto"/>
                <w:kern w:val="0"/>
                <w:sz w:val="24"/>
                <w:szCs w:val="24"/>
              </w:rPr>
              <w:t xml:space="preserve">申请人签名：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eastAsia="宋体" w:cs="Times New Roman"/>
                <w:color w:val="auto"/>
                <w:kern w:val="0"/>
                <w:sz w:val="24"/>
                <w:szCs w:val="24"/>
              </w:rPr>
              <w:t xml:space="preserve"> </w:t>
            </w:r>
            <w:r>
              <w:rPr>
                <w:rFonts w:hint="default" w:ascii="Times New Roman" w:hAnsi="Times New Roman" w:eastAsia="宋体" w:cs="Times New Roman"/>
                <w:color w:val="auto"/>
                <w:kern w:val="0"/>
                <w:sz w:val="24"/>
              </w:rPr>
              <w:t xml:space="preserve"> </w:t>
            </w:r>
            <w:r>
              <w:rPr>
                <w:rFonts w:hint="default" w:ascii="Times New Roman" w:hAnsi="Times New Roman" w:eastAsia="宋体" w:cs="Times New Roman"/>
                <w:color w:val="auto"/>
                <w:kern w:val="0"/>
                <w:sz w:val="24"/>
                <w:lang w:eastAsia="zh-CN"/>
              </w:rPr>
              <w:t>年</w:t>
            </w:r>
            <w:r>
              <w:rPr>
                <w:rFonts w:hint="default" w:ascii="Times New Roman" w:hAnsi="Times New Roman" w:eastAsia="宋体" w:cs="Times New Roman"/>
                <w:color w:val="auto"/>
                <w:kern w:val="0"/>
                <w:sz w:val="24"/>
              </w:rPr>
              <w:t xml:space="preserve">     </w:t>
            </w:r>
            <w:r>
              <w:rPr>
                <w:rFonts w:hint="default" w:ascii="Times New Roman" w:hAnsi="Times New Roman" w:eastAsia="宋体" w:cs="Times New Roman"/>
                <w:color w:val="auto"/>
                <w:kern w:val="0"/>
                <w:sz w:val="24"/>
                <w:lang w:eastAsia="zh-CN"/>
              </w:rPr>
              <w:t>月</w:t>
            </w:r>
            <w:r>
              <w:rPr>
                <w:rFonts w:hint="default" w:ascii="Times New Roman" w:hAnsi="Times New Roman" w:eastAsia="宋体" w:cs="Times New Roman"/>
                <w:color w:val="auto"/>
                <w:kern w:val="0"/>
                <w:sz w:val="24"/>
              </w:rPr>
              <w:t xml:space="preserve">     </w:t>
            </w:r>
            <w:r>
              <w:rPr>
                <w:rFonts w:hint="default" w:ascii="Times New Roman" w:hAnsi="Times New Roman" w:eastAsia="宋体" w:cs="Times New Roman"/>
                <w:color w:val="auto"/>
                <w:kern w:val="0"/>
                <w:sz w:val="24"/>
                <w:lang w:eastAsia="zh-CN"/>
              </w:rPr>
              <w:t>日</w:t>
            </w:r>
            <w:r>
              <w:rPr>
                <w:rFonts w:hint="default" w:ascii="Times New Roman" w:hAnsi="Times New Roman" w:eastAsia="宋体" w:cs="Times New Roman"/>
                <w:color w:val="auto"/>
                <w:kern w:val="0"/>
                <w:sz w:val="20"/>
              </w:rPr>
              <w:t xml:space="preserve">  </w:t>
            </w:r>
          </w:p>
        </w:tc>
      </w:tr>
    </w:tbl>
    <w:p>
      <w:pPr>
        <w:rPr>
          <w:rFonts w:hint="default" w:ascii="Times New Roman" w:hAnsi="Times New Roman" w:cs="Times New Roman"/>
          <w:color w:val="auto"/>
          <w:lang w:val="en-US" w:eastAsia="zh-CN"/>
        </w:rPr>
      </w:pPr>
    </w:p>
    <w:p>
      <w:r>
        <w:rPr>
          <w:rFonts w:hint="default" w:ascii="Times New Roman" w:hAnsi="Times New Roman" w:eastAsia="宋体" w:cs="Times New Roman"/>
          <w:color w:val="auto"/>
        </w:rPr>
        <w:t>说明：一次性趸缴的本人月缴费工资基数，可在申请时所在地级以上市企业职工基本养老保险的缴费工资基数上下限范围内，由本人自行申报。</w:t>
      </w: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cs="Times New Roman"/>
          <w:color w:val="auto"/>
          <w:lang w:val="en-US" w:eastAsia="zh-CN"/>
        </w:rPr>
        <w:t xml:space="preserve">                                      </w:t>
      </w:r>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细圆简体">
    <w:altName w:val="Arial Unicode MS"/>
    <w:panose1 w:val="02010601030101010101"/>
    <w:charset w:val="86"/>
    <w:family w:val="auto"/>
    <w:pitch w:val="default"/>
    <w:sig w:usb0="00000000" w:usb1="0000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chineseCountingThousand"/>
      <w:pStyle w:val="3"/>
      <w:suff w:val="nothing"/>
      <w:lvlText w:val="%1、"/>
      <w:lvlJc w:val="left"/>
      <w:pPr>
        <w:ind w:left="0" w:firstLine="624"/>
      </w:pPr>
      <w:rPr>
        <w:rFonts w:hint="eastAsia" w:eastAsia="仿宋_GB2312"/>
        <w:b w:val="0"/>
        <w:i w:val="0"/>
        <w:sz w:val="30"/>
      </w:rPr>
    </w:lvl>
    <w:lvl w:ilvl="1" w:tentative="0">
      <w:start w:val="1"/>
      <w:numFmt w:val="chineseCountingThousand"/>
      <w:pStyle w:val="4"/>
      <w:suff w:val="nothing"/>
      <w:lvlText w:val="（%2）"/>
      <w:lvlJc w:val="left"/>
      <w:pPr>
        <w:ind w:left="840" w:firstLine="624"/>
      </w:pPr>
      <w:rPr>
        <w:rFonts w:hint="eastAsia" w:eastAsia="仿宋_GB2312"/>
        <w:b w:val="0"/>
        <w:i w:val="0"/>
        <w:sz w:val="30"/>
      </w:rPr>
    </w:lvl>
    <w:lvl w:ilvl="2" w:tentative="0">
      <w:start w:val="1"/>
      <w:numFmt w:val="chineseCountingThousand"/>
      <w:lvlRestart w:val="1"/>
      <w:suff w:val="nothing"/>
      <w:lvlText w:val="第%3条   "/>
      <w:lvlJc w:val="left"/>
      <w:pPr>
        <w:ind w:left="136" w:firstLine="567"/>
      </w:pPr>
      <w:rPr>
        <w:rFonts w:hint="eastAsia"/>
        <w:sz w:val="30"/>
      </w:rPr>
    </w:lvl>
    <w:lvl w:ilvl="3" w:tentative="0">
      <w:start w:val="1"/>
      <w:numFmt w:val="chineseCountingThousand"/>
      <w:suff w:val="nothing"/>
      <w:lvlText w:val="（%4）"/>
      <w:lvlJc w:val="left"/>
      <w:pPr>
        <w:ind w:left="136" w:firstLine="567"/>
      </w:pPr>
      <w:rPr>
        <w:rFonts w:hint="eastAsia"/>
        <w:sz w:val="30"/>
      </w:rPr>
    </w:lvl>
    <w:lvl w:ilvl="4" w:tentative="0">
      <w:start w:val="1"/>
      <w:numFmt w:val="decimal"/>
      <w:suff w:val="nothing"/>
      <w:lvlText w:val="%5. "/>
      <w:lvlJc w:val="left"/>
      <w:pPr>
        <w:ind w:left="136" w:firstLine="567"/>
      </w:pPr>
      <w:rPr>
        <w:rFonts w:hint="eastAsia"/>
      </w:rPr>
    </w:lvl>
    <w:lvl w:ilvl="5" w:tentative="0">
      <w:start w:val="1"/>
      <w:numFmt w:val="lowerLetter"/>
      <w:suff w:val="nothing"/>
      <w:lvlText w:val="%6) "/>
      <w:lvlJc w:val="left"/>
      <w:pPr>
        <w:ind w:left="136" w:firstLine="0"/>
      </w:pPr>
      <w:rPr>
        <w:rFonts w:hint="eastAsia"/>
      </w:r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67152"/>
    <w:rsid w:val="02B20806"/>
    <w:rsid w:val="05680F26"/>
    <w:rsid w:val="22D67152"/>
    <w:rsid w:val="30933276"/>
    <w:rsid w:val="3D0C73DE"/>
    <w:rsid w:val="3E567291"/>
    <w:rsid w:val="65E65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numPr>
        <w:ilvl w:val="0"/>
        <w:numId w:val="1"/>
      </w:numPr>
      <w:adjustRightInd w:val="0"/>
      <w:snapToGrid w:val="0"/>
      <w:spacing w:line="360" w:lineRule="auto"/>
      <w:ind w:firstLine="880" w:firstLineChars="200"/>
      <w:outlineLvl w:val="0"/>
    </w:pPr>
    <w:rPr>
      <w:rFonts w:ascii="Times New Roman" w:hAnsi="Times New Roman" w:eastAsia="仿宋_GB2312" w:cs="仿宋_GB2312"/>
      <w:kern w:val="44"/>
      <w:sz w:val="30"/>
      <w:szCs w:val="32"/>
    </w:rPr>
  </w:style>
  <w:style w:type="paragraph" w:styleId="4">
    <w:name w:val="heading 2"/>
    <w:basedOn w:val="1"/>
    <w:next w:val="1"/>
    <w:qFormat/>
    <w:uiPriority w:val="0"/>
    <w:pPr>
      <w:numPr>
        <w:ilvl w:val="1"/>
        <w:numId w:val="1"/>
      </w:numPr>
      <w:adjustRightInd w:val="0"/>
      <w:snapToGrid w:val="0"/>
      <w:spacing w:line="360" w:lineRule="auto"/>
      <w:ind w:firstLine="880" w:firstLineChars="200"/>
      <w:outlineLvl w:val="1"/>
    </w:pPr>
    <w:rPr>
      <w:rFonts w:ascii="Arial" w:hAnsi="Arial" w:eastAsia="仿宋_GB2312" w:cs="仿宋_GB2312"/>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方正细圆简体"/>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0">
    <w:name w:val="List Paragraph_5986cf73-e098-4262-a660-943f2cb9a739"/>
    <w:basedOn w:val="1"/>
    <w:qFormat/>
    <w:uiPriority w:val="99"/>
    <w:pPr>
      <w:widowControl/>
      <w:overflowPunct w:val="0"/>
      <w:autoSpaceDE w:val="0"/>
      <w:autoSpaceDN w:val="0"/>
      <w:adjustRightInd w:val="0"/>
      <w:ind w:firstLine="420" w:firstLineChars="200"/>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2021-09-17T06:28:00Z</dcterms:created>
  <dc:creator>周宝云</dc:creator>
  <cp:lastModifiedBy>邵雪媚</cp:lastModifiedBy>
  <dcterms:modified xsi:type="dcterms:W3CDTF">2021-09-23T02:14:57Z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