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4033"/>
        <w:gridCol w:w="1174"/>
        <w:gridCol w:w="279"/>
        <w:gridCol w:w="115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4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2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27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2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spacing w:val="-2"/>
                <w:kern w:val="0"/>
                <w:sz w:val="36"/>
                <w:szCs w:val="36"/>
                <w:u w:val="none"/>
                <w:lang w:val="en-US" w:eastAsia="zh-CN" w:bidi="ar"/>
              </w:rPr>
              <w:t>2021年广东省直及中央驻穗单位随军家属安置计划表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接收单位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接收岗  位性质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接收随军  家属数量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国家税务总局广东省税务局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广州海关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广州出入境边防检查总站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国家统计局广东调查总队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省监狱管理局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广东省委党校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团省委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广东第二师范大学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广东省经济贸易职业技术学校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广东工程职业技术学院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广东建设职业技术学院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广东财经大学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广东省农垦总局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  <w:t>暨南大学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医院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省人力资源和社会保障厅  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省农科院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中山大学第二附属医院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中国建设银行股份有限公司广东省分行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中国邮政储蓄股份有限公司广东省分行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接收单位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接收岗  位性质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接收随军  家属数量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中国农业银行股份有限公司广东省分行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中国银行股份有限公司广东省分行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交通银行广东省分行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分行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中国邮政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广州市分公司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中国南方航空集团有限公司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中国联合网络通信有限公司广州分公司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中国移动通信集团广东有限公司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中国电信股份有限公司广东分公司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广东省广晟集团有限公司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中国铁路广州局集团有限公司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广东省广业集团有限公司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广州白云国际机场股份有限公司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广东省交通集团有限公司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  <w:t>保利发展控股集团股份有限公司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中化学南方建设投资有限公司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中国通信服务股份有限公司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中铁物资集团有限公司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广东省旅游控股集团有限公司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广东省建筑工程集团有限公司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中国电器科学研究院股份有限公司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广东省广新控股集团有限公司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FF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  <w:t>广东省路桥建设发展有限公司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814" w:right="1531" w:bottom="1644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6611E"/>
    <w:rsid w:val="4B566C80"/>
    <w:rsid w:val="697C3FD8"/>
    <w:rsid w:val="70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2021-06-18T08:08:00Z</dcterms:created>
  <dc:creator>Administrator</dc:creator>
  <cp:lastModifiedBy>周秋剑</cp:lastModifiedBy>
  <dcterms:modified xsi:type="dcterms:W3CDTF">2021-07-13T01:20:55Z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