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40" w:lineRule="exact"/>
        <w:ind w:left="0" w:leftChars="0" w:right="0"/>
        <w:jc w:val="center"/>
        <w:textAlignment w:val="auto"/>
        <w:outlineLvl w:val="9"/>
        <w:rPr>
          <w:rFonts w:hint="default" w:ascii="Times New Roman" w:hAnsi="Times New Roman" w:eastAsia="方正小标宋简体" w:cs="Times New Roman"/>
          <w:color w:val="auto"/>
          <w:sz w:val="40"/>
          <w:szCs w:val="40"/>
          <w:lang w:val="en-US" w:eastAsia="zh-CN"/>
        </w:rPr>
      </w:pPr>
      <w:r>
        <w:rPr>
          <w:rFonts w:hint="default" w:ascii="Times New Roman" w:hAnsi="Times New Roman" w:eastAsia="方正小标宋简体" w:cs="Times New Roman"/>
          <w:color w:val="auto"/>
          <w:sz w:val="40"/>
          <w:szCs w:val="40"/>
          <w:lang w:val="en-US" w:eastAsia="zh-CN"/>
        </w:rPr>
        <w:t>广东省人力资源和社会保障厅20</w:t>
      </w:r>
      <w:r>
        <w:rPr>
          <w:rFonts w:hint="eastAsia" w:ascii="Times New Roman" w:hAnsi="Times New Roman" w:eastAsia="方正小标宋简体" w:cs="Times New Roman"/>
          <w:color w:val="auto"/>
          <w:sz w:val="40"/>
          <w:szCs w:val="40"/>
          <w:lang w:val="en-US" w:eastAsia="zh-CN"/>
        </w:rPr>
        <w:t>20</w:t>
      </w:r>
      <w:r>
        <w:rPr>
          <w:rFonts w:hint="default" w:ascii="Times New Roman" w:hAnsi="Times New Roman" w:eastAsia="方正小标宋简体" w:cs="Times New Roman"/>
          <w:color w:val="auto"/>
          <w:sz w:val="40"/>
          <w:szCs w:val="40"/>
          <w:lang w:val="en-US" w:eastAsia="zh-CN"/>
        </w:rPr>
        <w:t>年度</w:t>
      </w:r>
    </w:p>
    <w:p>
      <w:pPr>
        <w:widowControl w:val="0"/>
        <w:wordWrap/>
        <w:adjustRightInd/>
        <w:snapToGrid/>
        <w:spacing w:line="540" w:lineRule="exact"/>
        <w:ind w:left="0" w:leftChars="0" w:right="0"/>
        <w:jc w:val="center"/>
        <w:textAlignment w:val="auto"/>
        <w:outlineLvl w:val="9"/>
        <w:rPr>
          <w:rFonts w:hint="default" w:ascii="Times New Roman" w:hAnsi="Times New Roman" w:eastAsia="方正小标宋简体" w:cs="Times New Roman"/>
          <w:color w:val="auto"/>
          <w:sz w:val="40"/>
          <w:szCs w:val="40"/>
          <w:lang w:val="en-US" w:eastAsia="zh-CN"/>
        </w:rPr>
      </w:pPr>
      <w:r>
        <w:rPr>
          <w:rFonts w:hint="default" w:ascii="Times New Roman" w:hAnsi="Times New Roman" w:eastAsia="方正小标宋简体" w:cs="Times New Roman"/>
          <w:color w:val="auto"/>
          <w:sz w:val="40"/>
          <w:szCs w:val="40"/>
          <w:lang w:val="en-US" w:eastAsia="zh-CN"/>
        </w:rPr>
        <w:t>法治政府建设情况报告</w:t>
      </w:r>
    </w:p>
    <w:p>
      <w:pPr>
        <w:widowControl w:val="0"/>
        <w:wordWrap/>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widowControl w:val="0"/>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2020年，我厅坚持以习近平新时代中国特色社会主义思想为指导，全面贯彻党的十九大和十九届二中、三中、四中</w:t>
      </w:r>
      <w:r>
        <w:rPr>
          <w:rFonts w:hint="eastAsia" w:ascii="Times New Roman" w:hAnsi="Times New Roman" w:cs="Times New Roman"/>
          <w:sz w:val="32"/>
          <w:szCs w:val="32"/>
          <w:lang w:val="en-US" w:eastAsia="zh-CN"/>
        </w:rPr>
        <w:t>、五中</w:t>
      </w:r>
      <w:r>
        <w:rPr>
          <w:rFonts w:hint="default" w:ascii="Times New Roman" w:hAnsi="Times New Roman" w:eastAsia="仿宋_GB2312" w:cs="Times New Roman"/>
          <w:sz w:val="32"/>
          <w:szCs w:val="32"/>
          <w:lang w:val="en-US" w:eastAsia="zh-CN"/>
        </w:rPr>
        <w:t>全会精神，</w:t>
      </w:r>
      <w:r>
        <w:rPr>
          <w:rFonts w:hint="eastAsia" w:ascii="Times New Roman" w:hAnsi="Times New Roman" w:cs="Times New Roman"/>
          <w:sz w:val="32"/>
          <w:szCs w:val="32"/>
          <w:lang w:val="en-US" w:eastAsia="zh-CN"/>
        </w:rPr>
        <w:t>深入学习贯彻习近平总书记对广</w:t>
      </w:r>
      <w:bookmarkStart w:id="0" w:name="_GoBack"/>
      <w:bookmarkEnd w:id="0"/>
      <w:r>
        <w:rPr>
          <w:rFonts w:hint="eastAsia" w:ascii="Times New Roman" w:hAnsi="Times New Roman" w:cs="Times New Roman"/>
          <w:sz w:val="32"/>
          <w:szCs w:val="32"/>
          <w:lang w:val="en-US" w:eastAsia="zh-CN"/>
        </w:rPr>
        <w:t>东系列重要讲话和重要指示批示精神，</w:t>
      </w:r>
      <w:r>
        <w:rPr>
          <w:rFonts w:hint="default" w:ascii="Times New Roman" w:hAnsi="Times New Roman" w:eastAsia="仿宋_GB2312" w:cs="Times New Roman"/>
          <w:sz w:val="32"/>
          <w:szCs w:val="32"/>
          <w:lang w:val="en-US" w:eastAsia="zh-CN"/>
        </w:rPr>
        <w:t>坚决落实中央和省委省政府各项法治建设决策部署，法治</w:t>
      </w:r>
      <w:r>
        <w:rPr>
          <w:rFonts w:hint="eastAsia" w:ascii="Times New Roman" w:hAnsi="Times New Roman" w:cs="Times New Roman"/>
          <w:sz w:val="32"/>
          <w:szCs w:val="32"/>
          <w:lang w:val="en-US" w:eastAsia="zh-CN"/>
        </w:rPr>
        <w:t>人社</w:t>
      </w:r>
      <w:r>
        <w:rPr>
          <w:rFonts w:hint="default" w:ascii="Times New Roman" w:hAnsi="Times New Roman" w:eastAsia="仿宋_GB2312" w:cs="Times New Roman"/>
          <w:sz w:val="32"/>
          <w:szCs w:val="32"/>
          <w:lang w:val="en-US" w:eastAsia="zh-CN"/>
        </w:rPr>
        <w:t>建设工作取得</w:t>
      </w:r>
      <w:r>
        <w:rPr>
          <w:rFonts w:hint="eastAsia" w:ascii="Times New Roman" w:hAnsi="Times New Roman" w:cs="Times New Roman"/>
          <w:sz w:val="32"/>
          <w:szCs w:val="32"/>
          <w:lang w:val="en-US" w:eastAsia="zh-CN"/>
        </w:rPr>
        <w:t>新成效</w:t>
      </w:r>
      <w:r>
        <w:rPr>
          <w:rFonts w:hint="default" w:ascii="Times New Roman" w:hAnsi="Times New Roman" w:eastAsia="仿宋_GB2312" w:cs="Times New Roman"/>
          <w:sz w:val="32"/>
          <w:szCs w:val="32"/>
          <w:lang w:val="en-US" w:eastAsia="zh-CN"/>
        </w:rPr>
        <w:t>。</w:t>
      </w:r>
      <w:r>
        <w:rPr>
          <w:rFonts w:hint="default" w:ascii="Times New Roman" w:hAnsi="Times New Roman" w:eastAsia="黑体" w:cs="Times New Roman"/>
          <w:sz w:val="32"/>
          <w:szCs w:val="32"/>
          <w:lang w:val="en-US" w:eastAsia="zh-CN"/>
        </w:rPr>
        <w:t>法治政府建设全面督察得分位列省直部门第一</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被评为省“七五”普法国家机关“谁执法谁普法”评议十佳单位</w:t>
      </w:r>
      <w:r>
        <w:rPr>
          <w:rFonts w:hint="eastAsia" w:ascii="Times New Roman" w:hAnsi="Times New Roman" w:eastAsia="黑体" w:cs="Times New Roman"/>
          <w:sz w:val="32"/>
          <w:szCs w:val="32"/>
          <w:lang w:val="en-US" w:eastAsia="zh-CN"/>
        </w:rPr>
        <w:t>之一，</w:t>
      </w:r>
      <w:r>
        <w:rPr>
          <w:rFonts w:hint="eastAsia" w:ascii="Times New Roman" w:hAnsi="Times New Roman" w:eastAsia="黑体" w:cs="Times New Roman"/>
        </w:rPr>
        <w:t>省仲裁办被中央文明委评为“全国文明单位”</w:t>
      </w:r>
      <w:r>
        <w:rPr>
          <w:rFonts w:hint="eastAsia" w:ascii="Times New Roman" w:hAnsi="Times New Roman" w:eastAsia="黑体" w:cs="Times New Roman"/>
          <w:lang w:eastAsia="zh-CN"/>
        </w:rPr>
        <w:t>。</w:t>
      </w:r>
    </w:p>
    <w:p>
      <w:pPr>
        <w:widowControl w:val="0"/>
        <w:numPr>
          <w:ilvl w:val="0"/>
          <w:numId w:val="1"/>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法治政府建设工作成效</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一是坚持以习近平法治思想领航前进，把学深悟透成果转化为法治人社建设的生动实践</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厅主要负责同志牢牢扛起推进法治建设第一责任人职责，把总书记提出的“11个坚持”贯穿到法治人社建设各方面、全过程。</w:t>
      </w:r>
      <w:r>
        <w:rPr>
          <w:rFonts w:hint="default" w:ascii="Times New Roman" w:hAnsi="Times New Roman" w:eastAsia="黑体" w:cs="Times New Roman"/>
          <w:sz w:val="32"/>
          <w:szCs w:val="32"/>
          <w:lang w:val="en-US" w:eastAsia="zh-CN"/>
        </w:rPr>
        <w:t>在大学习中提高站位</w:t>
      </w:r>
      <w:r>
        <w:rPr>
          <w:rFonts w:hint="default" w:ascii="Times New Roman" w:hAnsi="Times New Roman" w:eastAsia="仿宋_GB2312" w:cs="Times New Roman"/>
          <w:sz w:val="32"/>
          <w:szCs w:val="32"/>
          <w:lang w:val="en-US" w:eastAsia="zh-CN"/>
        </w:rPr>
        <w:t>。通过党组理论学习中心组学习、三会一课、</w:t>
      </w:r>
      <w:r>
        <w:rPr>
          <w:rFonts w:hint="eastAsia" w:ascii="Times New Roman" w:hAnsi="Times New Roman" w:cs="Times New Roman"/>
          <w:sz w:val="32"/>
          <w:szCs w:val="32"/>
          <w:lang w:val="en-US" w:eastAsia="zh-CN"/>
        </w:rPr>
        <w:t>专家</w:t>
      </w:r>
      <w:r>
        <w:rPr>
          <w:rFonts w:hint="default" w:ascii="Times New Roman" w:hAnsi="Times New Roman" w:eastAsia="仿宋_GB2312" w:cs="Times New Roman"/>
          <w:sz w:val="32"/>
          <w:szCs w:val="32"/>
          <w:lang w:val="en-US" w:eastAsia="zh-CN"/>
        </w:rPr>
        <w:t>辅导报告等方式掀起</w:t>
      </w:r>
      <w:r>
        <w:rPr>
          <w:rFonts w:hint="eastAsia" w:ascii="Times New Roman" w:hAnsi="Times New Roman" w:cs="Times New Roman"/>
          <w:sz w:val="32"/>
          <w:szCs w:val="32"/>
          <w:lang w:val="en-US" w:eastAsia="zh-CN"/>
        </w:rPr>
        <w:t>全厅</w:t>
      </w:r>
      <w:r>
        <w:rPr>
          <w:rFonts w:hint="default" w:ascii="Times New Roman" w:hAnsi="Times New Roman" w:eastAsia="仿宋_GB2312" w:cs="Times New Roman"/>
          <w:sz w:val="32"/>
          <w:szCs w:val="32"/>
          <w:lang w:val="en-US" w:eastAsia="zh-CN"/>
        </w:rPr>
        <w:t>学习</w:t>
      </w:r>
      <w:r>
        <w:rPr>
          <w:rFonts w:hint="eastAsia" w:ascii="Times New Roman" w:hAnsi="Times New Roman" w:cs="Times New Roman"/>
          <w:sz w:val="32"/>
          <w:szCs w:val="32"/>
          <w:lang w:val="en-US" w:eastAsia="zh-CN"/>
        </w:rPr>
        <w:t>贯彻</w:t>
      </w:r>
      <w:r>
        <w:rPr>
          <w:rFonts w:hint="default" w:ascii="Times New Roman" w:hAnsi="Times New Roman" w:eastAsia="仿宋_GB2312" w:cs="Times New Roman"/>
          <w:sz w:val="32"/>
          <w:szCs w:val="32"/>
          <w:lang w:val="en-US" w:eastAsia="zh-CN"/>
        </w:rPr>
        <w:t>习近平法治思想热潮</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厅党组开展3次法治专题学习，对接广东人社事业“十四五”规划草案</w:t>
      </w:r>
      <w:r>
        <w:rPr>
          <w:rFonts w:hint="eastAsia" w:ascii="Times New Roman" w:hAnsi="Times New Roman" w:cs="Times New Roman"/>
          <w:sz w:val="32"/>
          <w:szCs w:val="32"/>
          <w:lang w:val="en-US" w:eastAsia="zh-CN"/>
        </w:rPr>
        <w:t>布局</w:t>
      </w:r>
      <w:r>
        <w:rPr>
          <w:rFonts w:hint="default" w:ascii="Times New Roman" w:hAnsi="Times New Roman" w:eastAsia="仿宋_GB2312" w:cs="Times New Roman"/>
          <w:sz w:val="32"/>
          <w:szCs w:val="32"/>
          <w:lang w:val="en-US" w:eastAsia="zh-CN"/>
        </w:rPr>
        <w:t>法治人社建设</w:t>
      </w:r>
      <w:r>
        <w:rPr>
          <w:rFonts w:hint="eastAsia" w:ascii="Times New Roman" w:hAnsi="Times New Roman" w:cs="Times New Roman"/>
          <w:sz w:val="32"/>
          <w:szCs w:val="32"/>
          <w:lang w:val="en-US" w:eastAsia="zh-CN"/>
        </w:rPr>
        <w:t>，在学习中谱新篇、出新招。</w:t>
      </w:r>
      <w:r>
        <w:rPr>
          <w:rFonts w:hint="default" w:ascii="Times New Roman" w:hAnsi="Times New Roman" w:eastAsia="黑体" w:cs="Times New Roman"/>
          <w:sz w:val="32"/>
          <w:szCs w:val="32"/>
          <w:lang w:val="en-US" w:eastAsia="zh-CN"/>
        </w:rPr>
        <w:t>在深调研中找准方向</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健全政策法规实施深调研机制，</w:t>
      </w:r>
      <w:r>
        <w:rPr>
          <w:rFonts w:hint="default" w:ascii="Times New Roman" w:hAnsi="Times New Roman" w:eastAsia="仿宋_GB2312" w:cs="Times New Roman"/>
          <w:sz w:val="32"/>
          <w:szCs w:val="32"/>
          <w:lang w:val="en-US" w:eastAsia="zh-CN"/>
        </w:rPr>
        <w:t>派出7个调研组赴全省21个地市</w:t>
      </w:r>
      <w:r>
        <w:rPr>
          <w:rFonts w:hint="eastAsia" w:ascii="Times New Roman" w:hAnsi="Times New Roman" w:cs="Times New Roman"/>
          <w:sz w:val="32"/>
          <w:szCs w:val="32"/>
          <w:lang w:val="en-US" w:eastAsia="zh-CN"/>
        </w:rPr>
        <w:t>调研</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采取“解剖麻雀”方式</w:t>
      </w:r>
      <w:r>
        <w:rPr>
          <w:rFonts w:hint="default" w:ascii="Times New Roman" w:hAnsi="Times New Roman" w:eastAsia="仿宋_GB2312" w:cs="Times New Roman"/>
          <w:sz w:val="32"/>
          <w:szCs w:val="32"/>
          <w:lang w:val="en-US" w:eastAsia="zh-CN"/>
        </w:rPr>
        <w:t>督导</w:t>
      </w:r>
      <w:r>
        <w:rPr>
          <w:rFonts w:hint="eastAsia" w:ascii="Times New Roman" w:hAnsi="Times New Roman" w:cs="Times New Roman"/>
          <w:sz w:val="32"/>
          <w:szCs w:val="32"/>
          <w:lang w:val="en-US" w:eastAsia="zh-CN"/>
        </w:rPr>
        <w:t>落实</w:t>
      </w:r>
      <w:r>
        <w:rPr>
          <w:rFonts w:hint="default" w:ascii="Times New Roman" w:hAnsi="Times New Roman" w:eastAsia="仿宋_GB2312" w:cs="Times New Roman"/>
          <w:sz w:val="32"/>
          <w:szCs w:val="32"/>
          <w:lang w:val="en-US" w:eastAsia="zh-CN"/>
        </w:rPr>
        <w:t>14个重大政策点</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开展劳务派遣、灵活就业人员、行政纠纷压减等专题调研，锁定优化制度靶向。</w:t>
      </w:r>
      <w:r>
        <w:rPr>
          <w:rFonts w:hint="default" w:ascii="Times New Roman" w:hAnsi="Times New Roman" w:eastAsia="黑体" w:cs="Times New Roman"/>
          <w:sz w:val="32"/>
          <w:szCs w:val="32"/>
          <w:lang w:val="en-US" w:eastAsia="zh-CN"/>
        </w:rPr>
        <w:t>在真落实中善作善成。</w:t>
      </w:r>
      <w:r>
        <w:rPr>
          <w:rFonts w:hint="default" w:ascii="Times New Roman" w:hAnsi="Times New Roman" w:eastAsia="仿宋_GB2312" w:cs="Times New Roman"/>
          <w:sz w:val="32"/>
          <w:szCs w:val="32"/>
          <w:lang w:val="en-US" w:eastAsia="zh-CN"/>
        </w:rPr>
        <w:t>构建“项目化推进、台账化管理、常态化自查”监督落实模式</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厅党组制定并督促落实53项依法行政工作要点、21项“放管服”改革安排，听取相关进展报告，形成抓落实工作闭环。</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二是坚持以良法善治改善民生，推动民生保障制度体系更加科学完备。</w:t>
      </w:r>
      <w:r>
        <w:rPr>
          <w:rFonts w:hint="default" w:ascii="Times New Roman" w:hAnsi="Times New Roman" w:eastAsia="仿宋_GB2312" w:cs="Times New Roman"/>
          <w:sz w:val="32"/>
          <w:szCs w:val="32"/>
          <w:lang w:val="en-US" w:eastAsia="zh-CN"/>
        </w:rPr>
        <w:t>聚焦政策法规空白点和冲突点，推进立改废释等工作，用良法呵护群众幸福生活。</w:t>
      </w:r>
      <w:r>
        <w:rPr>
          <w:rFonts w:hint="default" w:ascii="Times New Roman" w:hAnsi="Times New Roman" w:eastAsia="黑体" w:cs="Times New Roman"/>
          <w:sz w:val="32"/>
          <w:szCs w:val="32"/>
          <w:lang w:val="en-US" w:eastAsia="zh-CN"/>
        </w:rPr>
        <w:t>健全人社地方立法体系。</w:t>
      </w:r>
      <w:r>
        <w:rPr>
          <w:rFonts w:hint="eastAsia" w:ascii="Times New Roman" w:hAnsi="Times New Roman" w:eastAsia="仿宋_GB2312" w:cs="Times New Roman"/>
          <w:sz w:val="32"/>
          <w:szCs w:val="32"/>
          <w:lang w:val="en-US" w:eastAsia="zh-CN"/>
        </w:rPr>
        <w:t>制订</w:t>
      </w:r>
      <w:r>
        <w:rPr>
          <w:rFonts w:hint="default" w:ascii="Times New Roman" w:hAnsi="Times New Roman" w:eastAsia="仿宋_GB2312" w:cs="Times New Roman"/>
          <w:sz w:val="32"/>
          <w:szCs w:val="32"/>
          <w:lang w:val="en-US" w:eastAsia="zh-CN"/>
        </w:rPr>
        <w:t>省人力资源市场条例</w:t>
      </w:r>
      <w:r>
        <w:rPr>
          <w:rFonts w:hint="eastAsia" w:ascii="Times New Roman" w:hAnsi="Times New Roman" w:cs="Times New Roman"/>
          <w:sz w:val="32"/>
          <w:szCs w:val="32"/>
          <w:lang w:val="en-US" w:eastAsia="zh-CN"/>
        </w:rPr>
        <w:t>，调整</w:t>
      </w:r>
      <w:r>
        <w:rPr>
          <w:rFonts w:hint="default" w:ascii="Times New Roman" w:hAnsi="Times New Roman" w:eastAsia="仿宋_GB2312" w:cs="Times New Roman"/>
          <w:sz w:val="32"/>
          <w:szCs w:val="32"/>
          <w:lang w:val="en-US" w:eastAsia="zh-CN"/>
        </w:rPr>
        <w:t>外商投资人力资源服务许可</w:t>
      </w:r>
      <w:r>
        <w:rPr>
          <w:rFonts w:hint="eastAsia" w:ascii="Times New Roman" w:hAnsi="Times New Roman" w:cs="Times New Roman"/>
          <w:sz w:val="32"/>
          <w:szCs w:val="32"/>
          <w:lang w:val="en-US" w:eastAsia="zh-CN"/>
        </w:rPr>
        <w:t>审批</w:t>
      </w:r>
      <w:r>
        <w:rPr>
          <w:rFonts w:hint="default" w:ascii="Times New Roman" w:hAnsi="Times New Roman" w:eastAsia="仿宋_GB2312" w:cs="Times New Roman"/>
          <w:sz w:val="32"/>
          <w:szCs w:val="32"/>
          <w:lang w:val="en-US" w:eastAsia="zh-CN"/>
        </w:rPr>
        <w:t>及备案</w:t>
      </w:r>
      <w:r>
        <w:rPr>
          <w:rFonts w:hint="eastAsia" w:ascii="Times New Roman" w:hAnsi="Times New Roman" w:cs="Times New Roman"/>
          <w:sz w:val="32"/>
          <w:szCs w:val="32"/>
          <w:lang w:val="en-US" w:eastAsia="zh-CN"/>
        </w:rPr>
        <w:t>层级，</w:t>
      </w:r>
      <w:r>
        <w:rPr>
          <w:rFonts w:hint="default" w:ascii="Times New Roman" w:hAnsi="Times New Roman" w:eastAsia="仿宋_GB2312" w:cs="Times New Roman"/>
          <w:sz w:val="32"/>
          <w:szCs w:val="32"/>
          <w:lang w:val="en-US" w:eastAsia="zh-CN"/>
        </w:rPr>
        <w:t>下放</w:t>
      </w:r>
      <w:r>
        <w:rPr>
          <w:rFonts w:hint="eastAsia" w:ascii="Times New Roman" w:hAnsi="Times New Roman" w:cs="Times New Roman"/>
          <w:sz w:val="32"/>
          <w:szCs w:val="32"/>
          <w:lang w:val="en-US" w:eastAsia="zh-CN"/>
        </w:rPr>
        <w:t>省级</w:t>
      </w:r>
      <w:r>
        <w:rPr>
          <w:rFonts w:hint="default" w:ascii="Times New Roman" w:hAnsi="Times New Roman" w:eastAsia="仿宋_GB2312" w:cs="Times New Roman"/>
          <w:sz w:val="32"/>
          <w:szCs w:val="32"/>
          <w:lang w:val="en-US" w:eastAsia="zh-CN"/>
        </w:rPr>
        <w:t>权限</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促进人力资源服务业高质量发展</w:t>
      </w:r>
      <w:r>
        <w:rPr>
          <w:rFonts w:hint="eastAsia" w:ascii="Times New Roman" w:hAnsi="Times New Roman" w:cs="Times New Roman"/>
          <w:sz w:val="32"/>
          <w:szCs w:val="32"/>
          <w:lang w:val="en-US" w:eastAsia="zh-CN"/>
        </w:rPr>
        <w:t>。围绕</w:t>
      </w:r>
      <w:r>
        <w:rPr>
          <w:rFonts w:hint="default" w:ascii="Times New Roman" w:hAnsi="Times New Roman" w:eastAsia="仿宋_GB2312" w:cs="Times New Roman"/>
          <w:sz w:val="32"/>
          <w:szCs w:val="32"/>
          <w:lang w:val="en-US" w:eastAsia="zh-CN"/>
        </w:rPr>
        <w:t>提高基金统筹层次、提升待遇水平</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修订养老、失业保险等法规</w:t>
      </w:r>
      <w:r>
        <w:rPr>
          <w:rFonts w:hint="eastAsia" w:ascii="Times New Roman" w:hAnsi="Times New Roman" w:cs="Times New Roman"/>
          <w:sz w:val="32"/>
          <w:szCs w:val="32"/>
          <w:lang w:val="en-US" w:eastAsia="zh-CN"/>
        </w:rPr>
        <w:t>。立法护航重大改革、顺应民生期盼的功能得到充分发挥。</w:t>
      </w:r>
      <w:r>
        <w:rPr>
          <w:rFonts w:hint="default" w:ascii="Times New Roman" w:hAnsi="Times New Roman" w:eastAsia="黑体" w:cs="Times New Roman"/>
          <w:sz w:val="32"/>
          <w:szCs w:val="32"/>
          <w:lang w:val="en-US" w:eastAsia="zh-CN"/>
        </w:rPr>
        <w:t>厚积兜底保障制度优势。</w:t>
      </w:r>
      <w:r>
        <w:rPr>
          <w:rFonts w:hint="default" w:ascii="Times New Roman" w:hAnsi="Times New Roman" w:cs="Times New Roman"/>
        </w:rPr>
        <w:t>实施 2.0 版“促进就业九条”，建立“1+4” 防范和应对大规模裁员和失业风险预案。</w:t>
      </w:r>
      <w:r>
        <w:rPr>
          <w:rFonts w:hint="eastAsia" w:ascii="Times New Roman" w:hAnsi="Times New Roman" w:cs="Times New Roman"/>
          <w:sz w:val="32"/>
          <w:szCs w:val="32"/>
          <w:lang w:val="en-US" w:eastAsia="zh-CN"/>
        </w:rPr>
        <w:t>出台以工代训政策，</w:t>
      </w:r>
      <w:r>
        <w:rPr>
          <w:rFonts w:hint="eastAsia" w:ascii="Times New Roman" w:hAnsi="Times New Roman" w:cs="Times New Roman"/>
        </w:rPr>
        <w:t>向 4 万家企业发放以工代训资金 38.85 亿元</w:t>
      </w:r>
      <w:r>
        <w:rPr>
          <w:rFonts w:hint="eastAsia" w:ascii="Times New Roman" w:hAnsi="Times New Roman" w:cs="Times New Roman"/>
          <w:lang w:eastAsia="zh-CN"/>
        </w:rPr>
        <w:t>。</w:t>
      </w:r>
      <w:r>
        <w:rPr>
          <w:rFonts w:hint="default" w:ascii="Times New Roman" w:hAnsi="Times New Roman" w:eastAsia="仿宋_GB2312" w:cs="Times New Roman"/>
          <w:sz w:val="32"/>
          <w:szCs w:val="32"/>
          <w:lang w:val="en-US" w:eastAsia="zh-CN"/>
        </w:rPr>
        <w:t>扩大失业保险保障范围，为</w:t>
      </w:r>
      <w:r>
        <w:rPr>
          <w:rFonts w:hint="eastAsia" w:ascii="Times New Roman" w:hAnsi="Times New Roman" w:cs="Times New Roman"/>
          <w:sz w:val="32"/>
          <w:szCs w:val="32"/>
          <w:lang w:val="en-US" w:eastAsia="zh-CN"/>
        </w:rPr>
        <w:t>99</w:t>
      </w:r>
      <w:r>
        <w:rPr>
          <w:rFonts w:hint="default" w:ascii="Times New Roman" w:hAnsi="Times New Roman" w:eastAsia="仿宋_GB2312" w:cs="Times New Roman"/>
          <w:sz w:val="32"/>
          <w:szCs w:val="32"/>
          <w:lang w:val="en-US" w:eastAsia="zh-CN"/>
        </w:rPr>
        <w:t>.29万人发放失业补助金</w:t>
      </w:r>
      <w:r>
        <w:rPr>
          <w:rFonts w:hint="eastAsia" w:ascii="Times New Roman" w:hAnsi="Times New Roman" w:cs="Times New Roman"/>
          <w:sz w:val="32"/>
          <w:szCs w:val="32"/>
          <w:lang w:val="en-US" w:eastAsia="zh-CN"/>
        </w:rPr>
        <w:t>20.96</w:t>
      </w:r>
      <w:r>
        <w:rPr>
          <w:rFonts w:hint="default" w:ascii="Times New Roman" w:hAnsi="Times New Roman" w:eastAsia="仿宋_GB2312" w:cs="Times New Roman"/>
          <w:sz w:val="32"/>
          <w:szCs w:val="32"/>
          <w:lang w:val="en-US" w:eastAsia="zh-CN"/>
        </w:rPr>
        <w:t>亿元</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实施灵活就业人员服务管理办法</w:t>
      </w:r>
      <w:r>
        <w:rPr>
          <w:rFonts w:hint="eastAsia" w:ascii="Times New Roman" w:hAnsi="Times New Roman" w:cs="Times New Roman"/>
          <w:sz w:val="32"/>
          <w:szCs w:val="32"/>
          <w:lang w:val="en-US" w:eastAsia="zh-CN"/>
        </w:rPr>
        <w:t>。做好</w:t>
      </w:r>
      <w:r>
        <w:rPr>
          <w:rFonts w:hint="default" w:ascii="Times New Roman" w:hAnsi="Times New Roman" w:eastAsia="仿宋_GB2312" w:cs="Times New Roman"/>
          <w:sz w:val="32"/>
          <w:szCs w:val="32"/>
          <w:lang w:val="en-US" w:eastAsia="zh-CN"/>
        </w:rPr>
        <w:t>探索新就业形态人员职业伤害保障试点</w:t>
      </w:r>
      <w:r>
        <w:rPr>
          <w:rFonts w:hint="eastAsia" w:ascii="Times New Roman" w:hAnsi="Times New Roman" w:cs="Times New Roman"/>
          <w:sz w:val="32"/>
          <w:szCs w:val="32"/>
          <w:lang w:val="en-US" w:eastAsia="zh-CN"/>
        </w:rPr>
        <w:t>准备。普惠性、基础性、兜底性民生建设进一步增强。</w:t>
      </w:r>
      <w:r>
        <w:rPr>
          <w:rFonts w:hint="default" w:ascii="Times New Roman" w:hAnsi="Times New Roman" w:eastAsia="黑体" w:cs="Times New Roman"/>
          <w:sz w:val="32"/>
          <w:szCs w:val="32"/>
          <w:lang w:val="en-US" w:eastAsia="zh-CN"/>
        </w:rPr>
        <w:t>完善防控疫情政策体系</w:t>
      </w:r>
      <w:r>
        <w:rPr>
          <w:rFonts w:hint="default" w:ascii="Times New Roman" w:hAnsi="Times New Roman" w:eastAsia="仿宋_GB2312" w:cs="Times New Roman"/>
          <w:sz w:val="32"/>
          <w:szCs w:val="32"/>
          <w:lang w:val="en-US" w:eastAsia="zh-CN"/>
        </w:rPr>
        <w:t>。出台新冠肺炎疫情防控期间异地务工人员入粤返岗、医务人员激励等政策170份</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制定17项法律风险管理清单</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建立24小时重点企业用工调度保障机制、网络招聘对接机制及企业裁员日报告制度</w:t>
      </w:r>
      <w:r>
        <w:rPr>
          <w:rFonts w:hint="eastAsia" w:ascii="Times New Roman" w:hAnsi="Times New Roman" w:cs="Times New Roman"/>
          <w:sz w:val="32"/>
          <w:szCs w:val="32"/>
          <w:lang w:val="en-US" w:eastAsia="zh-CN"/>
        </w:rPr>
        <w:t>。统一疫情防控期间劳动人事争议案件审理标准。</w:t>
      </w:r>
      <w:r>
        <w:rPr>
          <w:rFonts w:hint="default" w:ascii="Times New Roman" w:hAnsi="Times New Roman" w:eastAsia="仿宋_GB2312" w:cs="Times New Roman"/>
          <w:sz w:val="32"/>
          <w:szCs w:val="32"/>
          <w:lang w:val="en-US" w:eastAsia="zh-CN"/>
        </w:rPr>
        <w:t>助推“双统筹”、夺取“双胜利”</w:t>
      </w:r>
      <w:r>
        <w:rPr>
          <w:rFonts w:hint="eastAsia" w:ascii="Times New Roman" w:hAnsi="Times New Roman" w:cs="Times New Roman"/>
          <w:sz w:val="32"/>
          <w:szCs w:val="32"/>
          <w:lang w:val="en-US" w:eastAsia="zh-CN"/>
        </w:rPr>
        <w:t>法治保障越筑越牢。</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三是坚持以优质服务温暖民心，确保“放管服”改革在法治化轨道上走深走实</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用“放管服”改革方法推动人社事业发展，为构建国际一流优化营商环境作出新的更大贡献。</w:t>
      </w:r>
      <w:r>
        <w:rPr>
          <w:rFonts w:hint="default" w:ascii="Times New Roman" w:hAnsi="Times New Roman" w:eastAsia="黑体" w:cs="Times New Roman"/>
          <w:sz w:val="32"/>
          <w:szCs w:val="32"/>
          <w:lang w:val="en-US" w:eastAsia="zh-CN"/>
        </w:rPr>
        <w:t>放出活力与创造力</w:t>
      </w:r>
      <w:r>
        <w:rPr>
          <w:rFonts w:hint="default"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向自贸区南沙片区下放2项职能，向深圳下放4项职能，向广州下放2项事业单位人事管理职能</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向300多个社会组织、行业协会、用人单位下放职称评审权</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落实取消水平评价类职业资格</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实施职业技能等级认定制度</w:t>
      </w:r>
      <w:r>
        <w:rPr>
          <w:rFonts w:hint="eastAsia" w:ascii="Times New Roman" w:hAnsi="Times New Roman" w:cs="Times New Roman"/>
          <w:sz w:val="32"/>
          <w:szCs w:val="32"/>
          <w:lang w:val="en-US" w:eastAsia="zh-CN"/>
        </w:rPr>
        <w:t>，累计组织22459人参加职业技能等级认定（其中13596人合格）。在放权赋能过程中，政府有形之手、市场无形之手、基层勤劳之手同向发力、推动创新。</w:t>
      </w:r>
      <w:r>
        <w:rPr>
          <w:rFonts w:hint="default" w:ascii="Times New Roman" w:hAnsi="Times New Roman" w:eastAsia="黑体" w:cs="Times New Roman"/>
          <w:sz w:val="32"/>
          <w:szCs w:val="32"/>
          <w:lang w:val="en-US" w:eastAsia="zh-CN"/>
        </w:rPr>
        <w:t>管出公平与质量。</w:t>
      </w:r>
      <w:r>
        <w:rPr>
          <w:rFonts w:hint="default" w:ascii="Times New Roman" w:hAnsi="Times New Roman" w:eastAsia="仿宋_GB2312" w:cs="Times New Roman"/>
          <w:sz w:val="32"/>
          <w:szCs w:val="32"/>
          <w:lang w:val="en-US" w:eastAsia="zh-CN"/>
        </w:rPr>
        <w:t>5项涉企行政许可实施“证照分离”改革</w:t>
      </w:r>
      <w:r>
        <w:rPr>
          <w:rFonts w:hint="eastAsia" w:ascii="Times New Roman" w:hAnsi="Times New Roman" w:cs="Times New Roman"/>
          <w:sz w:val="32"/>
          <w:szCs w:val="32"/>
          <w:lang w:val="en-US" w:eastAsia="zh-CN"/>
        </w:rPr>
        <w:t>。职业技</w:t>
      </w:r>
      <w:r>
        <w:rPr>
          <w:rFonts w:hint="eastAsia" w:ascii="Times New Roman" w:hAnsi="Times New Roman" w:cs="Times New Roman"/>
          <w:spacing w:val="-4"/>
          <w:sz w:val="32"/>
          <w:szCs w:val="32"/>
          <w:lang w:val="en-US" w:eastAsia="zh-CN"/>
        </w:rPr>
        <w:t>能鉴定机构实行备案管理并推行质量管理协议书制度。</w:t>
      </w:r>
      <w:r>
        <w:rPr>
          <w:rFonts w:hint="default" w:ascii="Times New Roman" w:hAnsi="Times New Roman" w:eastAsia="仿宋_GB2312" w:cs="Times New Roman"/>
          <w:spacing w:val="-4"/>
          <w:sz w:val="32"/>
          <w:szCs w:val="32"/>
          <w:lang w:val="en-US" w:eastAsia="zh-CN"/>
        </w:rPr>
        <w:t>推广网上投诉举报平台，受理网上举报投诉10243件。省劳动保障监察信息系统网上办案率为97%</w:t>
      </w:r>
      <w:r>
        <w:rPr>
          <w:rFonts w:hint="eastAsia" w:ascii="Times New Roman" w:hAnsi="Times New Roman" w:cs="Times New Roman"/>
          <w:spacing w:val="-4"/>
          <w:sz w:val="32"/>
          <w:szCs w:val="32"/>
          <w:lang w:val="en-US" w:eastAsia="zh-CN"/>
        </w:rPr>
        <w:t>。监管理念已从“严进宽管”转向了“宽进严管”。</w:t>
      </w:r>
      <w:r>
        <w:rPr>
          <w:rFonts w:hint="default" w:ascii="Times New Roman" w:hAnsi="Times New Roman" w:eastAsia="黑体" w:cs="Times New Roman"/>
          <w:spacing w:val="-4"/>
          <w:sz w:val="32"/>
          <w:szCs w:val="32"/>
          <w:lang w:val="en-US" w:eastAsia="zh-CN"/>
        </w:rPr>
        <w:t>服出便利与实惠。</w:t>
      </w:r>
      <w:r>
        <w:rPr>
          <w:rFonts w:hint="default" w:ascii="Times New Roman" w:hAnsi="Times New Roman" w:eastAsia="仿宋_GB2312" w:cs="Times New Roman"/>
          <w:spacing w:val="-4"/>
          <w:sz w:val="32"/>
          <w:szCs w:val="32"/>
          <w:lang w:val="en-US" w:eastAsia="zh-CN"/>
        </w:rPr>
        <w:t>对全厅169个</w:t>
      </w:r>
      <w:r>
        <w:rPr>
          <w:rFonts w:hint="eastAsia" w:ascii="Times New Roman" w:hAnsi="Times New Roman" w:cs="Times New Roman"/>
          <w:spacing w:val="-4"/>
          <w:sz w:val="32"/>
          <w:szCs w:val="32"/>
          <w:lang w:val="en-US" w:eastAsia="zh-CN"/>
        </w:rPr>
        <w:t>服务</w:t>
      </w:r>
      <w:r>
        <w:rPr>
          <w:rFonts w:hint="default" w:ascii="Times New Roman" w:hAnsi="Times New Roman" w:eastAsia="仿宋_GB2312" w:cs="Times New Roman"/>
          <w:spacing w:val="-4"/>
          <w:sz w:val="32"/>
          <w:szCs w:val="32"/>
          <w:lang w:val="en-US" w:eastAsia="zh-CN"/>
        </w:rPr>
        <w:t>事项进行“提速办”“简便办”</w:t>
      </w:r>
      <w:r>
        <w:rPr>
          <w:rFonts w:hint="eastAsia" w:ascii="Times New Roman" w:hAnsi="Times New Roman" w:cs="Times New Roman"/>
          <w:spacing w:val="-4"/>
          <w:sz w:val="32"/>
          <w:szCs w:val="32"/>
          <w:lang w:val="en-US" w:eastAsia="zh-CN"/>
        </w:rPr>
        <w:t>“</w:t>
      </w:r>
      <w:r>
        <w:rPr>
          <w:rFonts w:hint="default" w:ascii="Times New Roman" w:hAnsi="Times New Roman" w:eastAsia="仿宋_GB2312" w:cs="Times New Roman"/>
          <w:spacing w:val="-4"/>
          <w:sz w:val="32"/>
          <w:szCs w:val="32"/>
          <w:lang w:val="en-US" w:eastAsia="zh-CN"/>
        </w:rPr>
        <w:t>再优化</w:t>
      </w:r>
      <w:r>
        <w:rPr>
          <w:rFonts w:hint="eastAsia" w:ascii="Times New Roman" w:hAnsi="Times New Roman" w:cs="Times New Roman"/>
          <w:spacing w:val="-4"/>
          <w:sz w:val="32"/>
          <w:szCs w:val="32"/>
          <w:lang w:val="en-US" w:eastAsia="zh-CN"/>
        </w:rPr>
        <w:t>”</w:t>
      </w:r>
      <w:r>
        <w:rPr>
          <w:rFonts w:hint="default" w:ascii="Times New Roman" w:hAnsi="Times New Roman" w:eastAsia="仿宋_GB2312" w:cs="Times New Roman"/>
          <w:spacing w:val="-4"/>
          <w:sz w:val="32"/>
          <w:szCs w:val="32"/>
          <w:lang w:val="en-US" w:eastAsia="zh-CN"/>
        </w:rPr>
        <w:t>，压减审批环节55个，33项</w:t>
      </w:r>
      <w:r>
        <w:rPr>
          <w:rFonts w:hint="eastAsia" w:ascii="Times New Roman" w:hAnsi="Times New Roman" w:cs="Times New Roman"/>
          <w:spacing w:val="-4"/>
          <w:sz w:val="32"/>
          <w:szCs w:val="32"/>
          <w:lang w:val="en-US" w:eastAsia="zh-CN"/>
        </w:rPr>
        <w:t>服务</w:t>
      </w:r>
      <w:r>
        <w:rPr>
          <w:rFonts w:hint="default" w:ascii="Times New Roman" w:hAnsi="Times New Roman" w:eastAsia="仿宋_GB2312" w:cs="Times New Roman"/>
          <w:spacing w:val="-4"/>
          <w:sz w:val="32"/>
          <w:szCs w:val="32"/>
          <w:lang w:val="en-US" w:eastAsia="zh-CN"/>
        </w:rPr>
        <w:t>实现“零审批”；减少</w:t>
      </w:r>
      <w:r>
        <w:rPr>
          <w:rFonts w:hint="eastAsia" w:ascii="Times New Roman" w:hAnsi="Times New Roman" w:cs="Times New Roman"/>
          <w:spacing w:val="-4"/>
          <w:sz w:val="32"/>
          <w:szCs w:val="32"/>
          <w:lang w:val="en-US" w:eastAsia="zh-CN"/>
        </w:rPr>
        <w:t>申请</w:t>
      </w:r>
      <w:r>
        <w:rPr>
          <w:rFonts w:hint="default" w:ascii="Times New Roman" w:hAnsi="Times New Roman" w:eastAsia="仿宋_GB2312" w:cs="Times New Roman"/>
          <w:spacing w:val="-4"/>
          <w:sz w:val="32"/>
          <w:szCs w:val="32"/>
          <w:lang w:val="en-US" w:eastAsia="zh-CN"/>
        </w:rPr>
        <w:t>材料254份，</w:t>
      </w:r>
      <w:r>
        <w:rPr>
          <w:rFonts w:hint="eastAsia" w:ascii="Times New Roman" w:hAnsi="Times New Roman" w:cs="Times New Roman"/>
          <w:spacing w:val="-4"/>
          <w:sz w:val="32"/>
          <w:szCs w:val="32"/>
          <w:lang w:val="en-US" w:eastAsia="zh-CN"/>
        </w:rPr>
        <w:t>群众少提交</w:t>
      </w:r>
      <w:r>
        <w:rPr>
          <w:rFonts w:hint="default" w:ascii="Times New Roman" w:hAnsi="Times New Roman" w:eastAsia="仿宋_GB2312" w:cs="Times New Roman"/>
          <w:spacing w:val="-4"/>
          <w:sz w:val="32"/>
          <w:szCs w:val="32"/>
          <w:lang w:val="en-US" w:eastAsia="zh-CN"/>
        </w:rPr>
        <w:t>33%</w:t>
      </w:r>
      <w:r>
        <w:rPr>
          <w:rFonts w:hint="eastAsia" w:ascii="Times New Roman" w:hAnsi="Times New Roman" w:cs="Times New Roman"/>
          <w:spacing w:val="-4"/>
          <w:sz w:val="32"/>
          <w:szCs w:val="32"/>
          <w:lang w:val="en-US" w:eastAsia="zh-CN"/>
        </w:rPr>
        <w:t>的材料</w:t>
      </w:r>
      <w:r>
        <w:rPr>
          <w:rFonts w:hint="default" w:ascii="Times New Roman" w:hAnsi="Times New Roman" w:eastAsia="仿宋_GB2312" w:cs="Times New Roman"/>
          <w:spacing w:val="-4"/>
          <w:sz w:val="32"/>
          <w:szCs w:val="32"/>
          <w:lang w:val="en-US" w:eastAsia="zh-CN"/>
        </w:rPr>
        <w:t>，31项</w:t>
      </w:r>
      <w:r>
        <w:rPr>
          <w:rFonts w:hint="eastAsia" w:ascii="Times New Roman" w:hAnsi="Times New Roman" w:cs="Times New Roman"/>
          <w:spacing w:val="-4"/>
          <w:sz w:val="32"/>
          <w:szCs w:val="32"/>
          <w:lang w:val="en-US" w:eastAsia="zh-CN"/>
        </w:rPr>
        <w:t>服务做到</w:t>
      </w:r>
      <w:r>
        <w:rPr>
          <w:rFonts w:hint="default" w:ascii="Times New Roman" w:hAnsi="Times New Roman" w:eastAsia="仿宋_GB2312" w:cs="Times New Roman"/>
          <w:spacing w:val="-4"/>
          <w:sz w:val="32"/>
          <w:szCs w:val="32"/>
          <w:lang w:val="en-US" w:eastAsia="zh-CN"/>
        </w:rPr>
        <w:t>“免</w:t>
      </w:r>
      <w:r>
        <w:rPr>
          <w:rFonts w:hint="eastAsia" w:ascii="Times New Roman" w:hAnsi="Times New Roman" w:cs="Times New Roman"/>
          <w:spacing w:val="-4"/>
          <w:sz w:val="32"/>
          <w:szCs w:val="32"/>
          <w:lang w:val="en-US" w:eastAsia="zh-CN"/>
        </w:rPr>
        <w:t>材料</w:t>
      </w:r>
      <w:r>
        <w:rPr>
          <w:rFonts w:hint="default" w:ascii="Times New Roman" w:hAnsi="Times New Roman" w:eastAsia="仿宋_GB2312" w:cs="Times New Roman"/>
          <w:spacing w:val="-4"/>
          <w:sz w:val="32"/>
          <w:szCs w:val="32"/>
          <w:lang w:val="en-US" w:eastAsia="zh-CN"/>
        </w:rPr>
        <w:t>”；压缩办理时限2615个工作日，平均提速65.85%</w:t>
      </w:r>
      <w:r>
        <w:rPr>
          <w:rFonts w:hint="eastAsia" w:ascii="Times New Roman" w:hAnsi="Times New Roman" w:cs="Times New Roman"/>
          <w:spacing w:val="-4"/>
          <w:sz w:val="32"/>
          <w:szCs w:val="32"/>
          <w:lang w:val="en-US" w:eastAsia="zh-CN"/>
        </w:rPr>
        <w:t>。</w:t>
      </w:r>
      <w:r>
        <w:rPr>
          <w:rFonts w:hint="default" w:ascii="Times New Roman" w:hAnsi="Times New Roman" w:eastAsia="仿宋_GB2312" w:cs="Times New Roman"/>
          <w:spacing w:val="-4"/>
          <w:sz w:val="32"/>
          <w:szCs w:val="32"/>
          <w:lang w:val="en-US" w:eastAsia="zh-CN"/>
        </w:rPr>
        <w:t>42项专业技术资格考试实行报名证明事项告知承诺制</w:t>
      </w:r>
      <w:r>
        <w:rPr>
          <w:rFonts w:hint="eastAsia" w:ascii="Times New Roman" w:hAnsi="Times New Roman" w:cs="Times New Roman"/>
          <w:spacing w:val="-4"/>
          <w:sz w:val="32"/>
          <w:szCs w:val="32"/>
          <w:lang w:val="en-US" w:eastAsia="zh-CN"/>
        </w:rPr>
        <w:t>，</w:t>
      </w:r>
      <w:r>
        <w:rPr>
          <w:rFonts w:hint="default" w:ascii="Times New Roman" w:hAnsi="Times New Roman" w:eastAsia="仿宋_GB2312" w:cs="Times New Roman"/>
          <w:spacing w:val="-4"/>
          <w:sz w:val="32"/>
          <w:szCs w:val="32"/>
          <w:lang w:val="en-US" w:eastAsia="zh-CN"/>
        </w:rPr>
        <w:t>惠及89万名考生</w:t>
      </w:r>
      <w:r>
        <w:rPr>
          <w:rFonts w:hint="eastAsia" w:ascii="Times New Roman" w:hAnsi="Times New Roman" w:cs="Times New Roman"/>
          <w:spacing w:val="-4"/>
          <w:sz w:val="32"/>
          <w:szCs w:val="32"/>
          <w:lang w:val="en-US" w:eastAsia="zh-CN"/>
        </w:rPr>
        <w:t>。</w:t>
      </w:r>
      <w:r>
        <w:rPr>
          <w:rFonts w:hint="default" w:ascii="Times New Roman" w:hAnsi="Times New Roman" w:eastAsia="仿宋_GB2312" w:cs="Times New Roman"/>
          <w:spacing w:val="-4"/>
          <w:sz w:val="32"/>
          <w:szCs w:val="32"/>
          <w:lang w:val="en-US" w:eastAsia="zh-CN"/>
        </w:rPr>
        <w:t>人才优粤卡累计发放</w:t>
      </w:r>
      <w:r>
        <w:rPr>
          <w:rFonts w:hint="eastAsia" w:ascii="Times New Roman" w:hAnsi="Times New Roman" w:cs="Times New Roman"/>
          <w:spacing w:val="-4"/>
          <w:sz w:val="32"/>
          <w:szCs w:val="32"/>
          <w:lang w:val="en-US" w:eastAsia="zh-CN"/>
        </w:rPr>
        <w:t>3139</w:t>
      </w:r>
      <w:r>
        <w:rPr>
          <w:rFonts w:hint="default" w:ascii="Times New Roman" w:hAnsi="Times New Roman" w:eastAsia="仿宋_GB2312" w:cs="Times New Roman"/>
          <w:spacing w:val="-4"/>
          <w:sz w:val="32"/>
          <w:szCs w:val="32"/>
          <w:lang w:val="en-US" w:eastAsia="zh-CN"/>
        </w:rPr>
        <w:t>张</w:t>
      </w:r>
      <w:r>
        <w:rPr>
          <w:rFonts w:hint="eastAsia" w:ascii="Times New Roman" w:hAnsi="Times New Roman" w:cs="Times New Roman"/>
          <w:spacing w:val="-4"/>
          <w:sz w:val="32"/>
          <w:szCs w:val="32"/>
          <w:lang w:val="en-US" w:eastAsia="zh-CN"/>
        </w:rPr>
        <w:t>，凭卡享受“一站式”人才服务。</w:t>
      </w:r>
      <w:r>
        <w:rPr>
          <w:rFonts w:hint="default" w:ascii="Times New Roman" w:hAnsi="Times New Roman" w:eastAsia="仿宋_GB2312" w:cs="Times New Roman"/>
          <w:spacing w:val="-4"/>
          <w:sz w:val="32"/>
          <w:szCs w:val="32"/>
          <w:lang w:val="en-US" w:eastAsia="zh-CN"/>
        </w:rPr>
        <w:t>全省社保卡持卡人数1.14亿人</w:t>
      </w:r>
      <w:r>
        <w:rPr>
          <w:rFonts w:hint="eastAsia" w:ascii="Times New Roman" w:hAnsi="Times New Roman" w:cs="Times New Roman"/>
          <w:spacing w:val="-4"/>
          <w:sz w:val="32"/>
          <w:szCs w:val="32"/>
          <w:lang w:val="en-US" w:eastAsia="zh-CN"/>
        </w:rPr>
        <w:t>，普及率98.95%；</w:t>
      </w:r>
      <w:r>
        <w:rPr>
          <w:rFonts w:hint="default" w:ascii="Times New Roman" w:hAnsi="Times New Roman" w:eastAsia="仿宋_GB2312" w:cs="Times New Roman"/>
          <w:spacing w:val="-4"/>
          <w:sz w:val="32"/>
          <w:szCs w:val="32"/>
          <w:lang w:val="en-US" w:eastAsia="zh-CN"/>
        </w:rPr>
        <w:t>签发电子社保卡</w:t>
      </w:r>
      <w:r>
        <w:rPr>
          <w:rFonts w:hint="eastAsia" w:ascii="Times New Roman" w:hAnsi="Times New Roman" w:cs="Times New Roman"/>
          <w:spacing w:val="-4"/>
          <w:sz w:val="32"/>
          <w:szCs w:val="32"/>
          <w:lang w:val="en-US" w:eastAsia="zh-CN"/>
        </w:rPr>
        <w:t>3917</w:t>
      </w:r>
      <w:r>
        <w:rPr>
          <w:rFonts w:hint="default" w:ascii="Times New Roman" w:hAnsi="Times New Roman" w:eastAsia="仿宋_GB2312" w:cs="Times New Roman"/>
          <w:spacing w:val="-4"/>
          <w:sz w:val="32"/>
          <w:szCs w:val="32"/>
          <w:lang w:val="en-US" w:eastAsia="zh-CN"/>
        </w:rPr>
        <w:t>万张</w:t>
      </w:r>
      <w:r>
        <w:rPr>
          <w:rFonts w:hint="eastAsia" w:ascii="Times New Roman" w:hAnsi="Times New Roman" w:cs="Times New Roman"/>
          <w:spacing w:val="-4"/>
          <w:sz w:val="32"/>
          <w:szCs w:val="32"/>
          <w:lang w:val="en-US" w:eastAsia="zh-CN"/>
        </w:rPr>
        <w:t>。公共服务标准化、信息化程度正逐步深化。</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仿宋_GB2312" w:cs="Times New Roman"/>
          <w:spacing w:val="-5"/>
          <w:sz w:val="32"/>
          <w:szCs w:val="32"/>
          <w:lang w:val="en-US" w:eastAsia="zh-CN"/>
        </w:rPr>
      </w:pPr>
      <w:r>
        <w:rPr>
          <w:rFonts w:hint="default" w:ascii="Times New Roman" w:hAnsi="Times New Roman" w:eastAsia="楷体_GB2312" w:cs="Times New Roman"/>
          <w:b/>
          <w:bCs/>
          <w:sz w:val="32"/>
          <w:szCs w:val="32"/>
          <w:lang w:val="en-US" w:eastAsia="zh-CN"/>
        </w:rPr>
        <w:t>四是坚持以严密监督加固底线，扎紧规范权力运行的制度牢笼。</w:t>
      </w:r>
      <w:r>
        <w:rPr>
          <w:rFonts w:hint="default" w:ascii="Times New Roman" w:hAnsi="Times New Roman" w:eastAsia="仿宋_GB2312" w:cs="Times New Roman"/>
          <w:sz w:val="32"/>
          <w:szCs w:val="32"/>
          <w:lang w:val="en-US" w:eastAsia="zh-CN"/>
        </w:rPr>
        <w:t>用法治给行政权力定规矩、划界限，确保行政权力始终为人民服务、为群众造福。</w:t>
      </w:r>
      <w:r>
        <w:rPr>
          <w:rFonts w:hint="default" w:ascii="Times New Roman" w:hAnsi="Times New Roman" w:eastAsia="黑体" w:cs="Times New Roman"/>
          <w:sz w:val="32"/>
          <w:szCs w:val="32"/>
          <w:lang w:val="en-US" w:eastAsia="zh-CN"/>
        </w:rPr>
        <w:t>落实规范性文件监督制度。</w:t>
      </w:r>
      <w:r>
        <w:rPr>
          <w:rFonts w:hint="default" w:ascii="Times New Roman" w:hAnsi="Times New Roman" w:eastAsia="仿宋_GB2312" w:cs="Times New Roman"/>
          <w:sz w:val="32"/>
          <w:szCs w:val="32"/>
          <w:lang w:val="en-US" w:eastAsia="zh-CN"/>
        </w:rPr>
        <w:t>在起草、审议、印发、公布</w:t>
      </w:r>
      <w:r>
        <w:rPr>
          <w:rFonts w:hint="eastAsia" w:ascii="Times New Roman" w:hAnsi="Times New Roman" w:cs="Times New Roman"/>
          <w:sz w:val="32"/>
          <w:szCs w:val="32"/>
          <w:lang w:val="en-US" w:eastAsia="zh-CN"/>
        </w:rPr>
        <w:t>等</w:t>
      </w:r>
      <w:r>
        <w:rPr>
          <w:rFonts w:hint="default" w:ascii="Times New Roman" w:hAnsi="Times New Roman" w:eastAsia="仿宋_GB2312" w:cs="Times New Roman"/>
          <w:sz w:val="32"/>
          <w:szCs w:val="32"/>
          <w:lang w:val="en-US" w:eastAsia="zh-CN"/>
        </w:rPr>
        <w:t>环节</w:t>
      </w:r>
      <w:r>
        <w:rPr>
          <w:rFonts w:hint="eastAsia" w:ascii="Times New Roman" w:hAnsi="Times New Roman" w:cs="Times New Roman"/>
          <w:sz w:val="32"/>
          <w:szCs w:val="32"/>
          <w:lang w:val="en-US" w:eastAsia="zh-CN"/>
        </w:rPr>
        <w:t>实施</w:t>
      </w:r>
      <w:r>
        <w:rPr>
          <w:rFonts w:hint="default" w:ascii="Times New Roman" w:hAnsi="Times New Roman" w:eastAsia="仿宋_GB2312" w:cs="Times New Roman"/>
          <w:sz w:val="32"/>
          <w:szCs w:val="32"/>
          <w:lang w:val="en-US" w:eastAsia="zh-CN"/>
        </w:rPr>
        <w:t>合法性审查，一体开展法治监督、法律咨询、决策服务</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推动出台厅发规范性文件</w:t>
      </w:r>
      <w:r>
        <w:rPr>
          <w:rFonts w:hint="eastAsia" w:ascii="Times New Roman" w:hAnsi="Times New Roman" w:cs="Times New Roman"/>
          <w:sz w:val="32"/>
          <w:szCs w:val="32"/>
          <w:lang w:val="en-US" w:eastAsia="zh-CN"/>
        </w:rPr>
        <w:t>40</w:t>
      </w:r>
      <w:r>
        <w:rPr>
          <w:rFonts w:hint="default" w:ascii="Times New Roman" w:hAnsi="Times New Roman" w:eastAsia="仿宋_GB2312" w:cs="Times New Roman"/>
          <w:sz w:val="32"/>
          <w:szCs w:val="32"/>
          <w:lang w:val="en-US" w:eastAsia="zh-CN"/>
        </w:rPr>
        <w:t>份，开展审查和服务超过</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00次</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清理涉及民法典政策文件</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开展公平竞争审查</w:t>
      </w:r>
      <w:r>
        <w:rPr>
          <w:rFonts w:hint="eastAsia" w:ascii="Times New Roman" w:hAnsi="Times New Roman" w:cs="Times New Roman"/>
          <w:sz w:val="32"/>
          <w:szCs w:val="32"/>
          <w:lang w:val="en-US" w:eastAsia="zh-CN"/>
        </w:rPr>
        <w:t>。从源头上把牢权力监督第一道关。</w:t>
      </w:r>
      <w:r>
        <w:rPr>
          <w:rFonts w:hint="default" w:ascii="Times New Roman" w:hAnsi="Times New Roman" w:eastAsia="黑体" w:cs="Times New Roman"/>
          <w:sz w:val="32"/>
          <w:szCs w:val="32"/>
          <w:lang w:val="en-US" w:eastAsia="zh-CN"/>
        </w:rPr>
        <w:t>完善全流程决策监督机制。</w:t>
      </w:r>
      <w:r>
        <w:rPr>
          <w:rFonts w:hint="default" w:ascii="Times New Roman" w:hAnsi="Times New Roman" w:eastAsia="仿宋_GB2312" w:cs="Times New Roman"/>
          <w:sz w:val="32"/>
          <w:szCs w:val="32"/>
          <w:lang w:val="en-US" w:eastAsia="zh-CN"/>
        </w:rPr>
        <w:t>制定调研课题管理办法，开展专家咨询论证7次</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对保居民就业政策开展公开听证和决策实施后第三方评估</w:t>
      </w:r>
      <w:r>
        <w:rPr>
          <w:rFonts w:hint="eastAsia" w:ascii="Times New Roman" w:hAnsi="Times New Roman" w:cs="Times New Roman"/>
          <w:sz w:val="32"/>
          <w:szCs w:val="32"/>
          <w:lang w:val="en-US" w:eastAsia="zh-CN"/>
        </w:rPr>
        <w:t>。就</w:t>
      </w:r>
      <w:r>
        <w:rPr>
          <w:rFonts w:hint="default" w:ascii="Times New Roman" w:hAnsi="Times New Roman" w:eastAsia="仿宋_GB2312" w:cs="Times New Roman"/>
          <w:sz w:val="32"/>
          <w:szCs w:val="32"/>
          <w:lang w:val="en-US" w:eastAsia="zh-CN"/>
        </w:rPr>
        <w:t>养老保险待遇标准进行风险评估</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完善大额资金管理使用集体决策制度，</w:t>
      </w:r>
      <w:r>
        <w:rPr>
          <w:rFonts w:hint="eastAsia" w:ascii="Times New Roman" w:hAnsi="Times New Roman" w:cs="Times New Roman"/>
          <w:sz w:val="32"/>
          <w:szCs w:val="32"/>
          <w:lang w:val="en-US" w:eastAsia="zh-CN"/>
        </w:rPr>
        <w:t>全年</w:t>
      </w:r>
      <w:r>
        <w:rPr>
          <w:rFonts w:hint="default" w:ascii="Times New Roman" w:hAnsi="Times New Roman" w:eastAsia="仿宋_GB2312" w:cs="Times New Roman"/>
          <w:sz w:val="32"/>
          <w:szCs w:val="32"/>
          <w:lang w:val="en-US" w:eastAsia="zh-CN"/>
        </w:rPr>
        <w:t>对基本建设项目、政府采购等开展决策前会商会审1</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次</w:t>
      </w:r>
      <w:r>
        <w:rPr>
          <w:rFonts w:hint="eastAsia" w:ascii="Times New Roman" w:hAnsi="Times New Roman" w:cs="Times New Roman"/>
          <w:sz w:val="32"/>
          <w:szCs w:val="32"/>
          <w:lang w:val="en-US" w:eastAsia="zh-CN"/>
        </w:rPr>
        <w:t>。决策民主化、科学化、法治化水平持续提升。</w:t>
      </w:r>
      <w:r>
        <w:rPr>
          <w:rFonts w:hint="default" w:ascii="Times New Roman" w:hAnsi="Times New Roman" w:eastAsia="黑体" w:cs="Times New Roman"/>
          <w:sz w:val="32"/>
          <w:szCs w:val="32"/>
          <w:lang w:val="en-US" w:eastAsia="zh-CN"/>
        </w:rPr>
        <w:t>织密多渠道权力监督网络</w:t>
      </w:r>
      <w:r>
        <w:rPr>
          <w:rFonts w:hint="default" w:ascii="Times New Roman" w:hAnsi="Times New Roman" w:eastAsia="仿宋_GB2312" w:cs="Times New Roman"/>
          <w:sz w:val="32"/>
          <w:szCs w:val="32"/>
          <w:lang w:val="en-US" w:eastAsia="zh-CN"/>
        </w:rPr>
        <w:t>。办理129件人大代表建议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228件政协委员提案</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办理政府信息公开申请89件</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答复网上留言13790件</w:t>
      </w:r>
      <w:r>
        <w:rPr>
          <w:rFonts w:hint="eastAsia" w:ascii="Times New Roman" w:hAnsi="Times New Roman" w:cs="Times New Roman"/>
          <w:sz w:val="32"/>
          <w:szCs w:val="32"/>
          <w:lang w:val="en-US" w:eastAsia="zh-CN"/>
        </w:rPr>
        <w:t>，</w:t>
      </w:r>
      <w:r>
        <w:rPr>
          <w:rFonts w:hint="eastAsia" w:ascii="Times New Roman" w:hAnsi="Times New Roman" w:cs="Times New Roman"/>
        </w:rPr>
        <w:t>重复及越级</w:t>
      </w:r>
      <w:r>
        <w:rPr>
          <w:rFonts w:hint="eastAsia" w:ascii="Times New Roman" w:hAnsi="Times New Roman" w:cs="Times New Roman"/>
          <w:lang w:val="en-US" w:eastAsia="zh-CN"/>
        </w:rPr>
        <w:t>信</w:t>
      </w:r>
      <w:r>
        <w:rPr>
          <w:rFonts w:hint="eastAsia" w:ascii="Times New Roman" w:hAnsi="Times New Roman" w:cs="Times New Roman"/>
        </w:rPr>
        <w:t>访同比</w:t>
      </w:r>
      <w:r>
        <w:rPr>
          <w:rFonts w:hint="eastAsia" w:ascii="Times New Roman" w:hAnsi="Times New Roman" w:cs="Times New Roman"/>
          <w:spacing w:val="-5"/>
        </w:rPr>
        <w:t>下降20%</w:t>
      </w:r>
      <w:r>
        <w:rPr>
          <w:rFonts w:hint="eastAsia" w:ascii="Times New Roman" w:hAnsi="Times New Roman" w:cs="Times New Roman"/>
          <w:spacing w:val="-5"/>
          <w:lang w:eastAsia="zh-CN"/>
        </w:rPr>
        <w:t>。</w:t>
      </w:r>
      <w:r>
        <w:rPr>
          <w:rFonts w:hint="default" w:ascii="Times New Roman" w:hAnsi="Times New Roman" w:eastAsia="仿宋_GB2312" w:cs="Times New Roman"/>
          <w:spacing w:val="-5"/>
          <w:sz w:val="32"/>
          <w:szCs w:val="32"/>
          <w:lang w:val="en-US" w:eastAsia="zh-CN"/>
        </w:rPr>
        <w:t>完成46项审计发现问题整改</w:t>
      </w:r>
      <w:r>
        <w:rPr>
          <w:rFonts w:hint="eastAsia" w:ascii="Times New Roman" w:hAnsi="Times New Roman" w:cs="Times New Roman"/>
          <w:spacing w:val="-5"/>
          <w:sz w:val="32"/>
          <w:szCs w:val="32"/>
          <w:lang w:val="en-US" w:eastAsia="zh-CN"/>
        </w:rPr>
        <w:t>。完成</w:t>
      </w:r>
      <w:r>
        <w:rPr>
          <w:rFonts w:hint="default" w:ascii="Times New Roman" w:hAnsi="Times New Roman" w:eastAsia="仿宋_GB2312" w:cs="Times New Roman"/>
          <w:spacing w:val="-5"/>
          <w:sz w:val="32"/>
          <w:szCs w:val="32"/>
          <w:lang w:val="en-US" w:eastAsia="zh-CN"/>
        </w:rPr>
        <w:t>行政执法案卷评查</w:t>
      </w:r>
      <w:r>
        <w:rPr>
          <w:rFonts w:hint="eastAsia" w:ascii="Times New Roman" w:hAnsi="Times New Roman" w:cs="Times New Roman"/>
          <w:spacing w:val="-5"/>
          <w:sz w:val="32"/>
          <w:szCs w:val="32"/>
          <w:lang w:val="en-US" w:eastAsia="zh-CN"/>
        </w:rPr>
        <w:t>。</w:t>
      </w:r>
      <w:r>
        <w:rPr>
          <w:rFonts w:hint="default" w:ascii="Times New Roman" w:hAnsi="Times New Roman" w:eastAsia="仿宋_GB2312" w:cs="Times New Roman"/>
          <w:spacing w:val="-5"/>
          <w:sz w:val="32"/>
          <w:szCs w:val="32"/>
          <w:lang w:val="en-US" w:eastAsia="zh-CN"/>
        </w:rPr>
        <w:t>制定查处侵害社会保险基金行为办法</w:t>
      </w:r>
      <w:r>
        <w:rPr>
          <w:rFonts w:hint="eastAsia" w:ascii="Times New Roman" w:hAnsi="Times New Roman" w:cs="Times New Roman"/>
          <w:spacing w:val="-5"/>
          <w:sz w:val="32"/>
          <w:szCs w:val="32"/>
          <w:lang w:val="en-US" w:eastAsia="zh-CN"/>
        </w:rPr>
        <w:t>，实施社保</w:t>
      </w:r>
      <w:r>
        <w:rPr>
          <w:rFonts w:hint="default" w:ascii="Times New Roman" w:hAnsi="Times New Roman" w:eastAsia="仿宋_GB2312" w:cs="Times New Roman"/>
          <w:spacing w:val="-5"/>
          <w:sz w:val="32"/>
          <w:szCs w:val="32"/>
          <w:lang w:val="en-US" w:eastAsia="zh-CN"/>
        </w:rPr>
        <w:t>基金内控检查</w:t>
      </w:r>
      <w:r>
        <w:rPr>
          <w:rFonts w:hint="eastAsia" w:ascii="Times New Roman" w:hAnsi="Times New Roman" w:cs="Times New Roman"/>
          <w:spacing w:val="-5"/>
          <w:sz w:val="32"/>
          <w:szCs w:val="32"/>
          <w:lang w:val="en-US" w:eastAsia="zh-CN"/>
        </w:rPr>
        <w:t>。推动人大、政协、社会、审计等监督环节环环相扣、有效运转。</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五是坚持以根治欠薪保障公平，为营造共建共治共享社会治理格局贡献人社力量。</w:t>
      </w:r>
      <w:r>
        <w:rPr>
          <w:rFonts w:hint="default" w:ascii="Times New Roman" w:hAnsi="Times New Roman" w:eastAsia="仿宋_GB2312" w:cs="Times New Roman"/>
          <w:sz w:val="32"/>
          <w:szCs w:val="32"/>
          <w:lang w:val="en-US" w:eastAsia="zh-CN"/>
        </w:rPr>
        <w:t>突出综合治理、源头治理、系统治理，让根治欠薪彰显人社治理温度。</w:t>
      </w:r>
      <w:r>
        <w:rPr>
          <w:rFonts w:hint="default" w:ascii="Times New Roman" w:hAnsi="Times New Roman" w:eastAsia="黑体" w:cs="Times New Roman"/>
          <w:sz w:val="32"/>
          <w:szCs w:val="32"/>
          <w:lang w:val="en-US" w:eastAsia="zh-CN"/>
        </w:rPr>
        <w:t>增强“不敢欠”的长效威慑。</w:t>
      </w:r>
      <w:r>
        <w:rPr>
          <w:rFonts w:hint="default" w:ascii="Times New Roman" w:hAnsi="Times New Roman" w:eastAsia="仿宋_GB2312" w:cs="Times New Roman"/>
          <w:sz w:val="32"/>
          <w:szCs w:val="32"/>
          <w:lang w:val="en-US" w:eastAsia="zh-CN"/>
        </w:rPr>
        <w:t>全省欠薪违法案件、欠薪群体性事件数量分别同比下降</w:t>
      </w:r>
      <w:r>
        <w:rPr>
          <w:rFonts w:hint="eastAsia" w:ascii="Times New Roman" w:hAnsi="Times New Roman" w:cs="Times New Roman"/>
          <w:color w:val="auto"/>
          <w:sz w:val="32"/>
          <w:szCs w:val="32"/>
          <w:lang w:val="en-US" w:eastAsia="zh-CN"/>
        </w:rPr>
        <w:t>18.76%、72</w:t>
      </w:r>
      <w:r>
        <w:rPr>
          <w:rFonts w:hint="default" w:ascii="Times New Roman" w:hAnsi="Times New Roman" w:eastAsia="宋体" w:cs="Times New Roman"/>
          <w:color w:val="auto"/>
          <w:sz w:val="32"/>
          <w:szCs w:val="32"/>
        </w:rPr>
        <w:t>.</w:t>
      </w:r>
      <w:r>
        <w:rPr>
          <w:rFonts w:hint="eastAsia" w:ascii="Times New Roman" w:hAnsi="Times New Roman" w:cs="Times New Roman"/>
          <w:color w:val="auto"/>
          <w:sz w:val="32"/>
          <w:szCs w:val="32"/>
          <w:lang w:val="en-US" w:eastAsia="zh-CN"/>
        </w:rPr>
        <w:t>22</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sz w:val="32"/>
          <w:szCs w:val="32"/>
          <w:lang w:val="en-US" w:eastAsia="zh-CN"/>
        </w:rPr>
        <w:t>，未发生重大社会影响的欠薪群体性事件和极端案件，累计为</w:t>
      </w:r>
      <w:r>
        <w:rPr>
          <w:rFonts w:hint="eastAsia" w:ascii="Times New Roman" w:hAnsi="Times New Roman" w:eastAsia="仿宋_GB2312" w:cs="Times New Roman"/>
          <w:color w:val="auto"/>
          <w:sz w:val="32"/>
          <w:szCs w:val="32"/>
          <w:lang w:val="en-US" w:eastAsia="zh-CN"/>
        </w:rPr>
        <w:t>9.75</w:t>
      </w:r>
      <w:r>
        <w:rPr>
          <w:rFonts w:hint="default" w:ascii="Times New Roman" w:hAnsi="Times New Roman" w:eastAsia="仿宋_GB2312" w:cs="Times New Roman"/>
          <w:sz w:val="32"/>
          <w:szCs w:val="32"/>
          <w:lang w:val="en-US" w:eastAsia="zh-CN"/>
        </w:rPr>
        <w:t>万劳动者追回工资待遇</w:t>
      </w:r>
      <w:r>
        <w:rPr>
          <w:rFonts w:hint="eastAsia" w:ascii="Times New Roman" w:hAnsi="Times New Roman" w:eastAsia="仿宋_GB2312" w:cs="Times New Roman"/>
          <w:color w:val="auto"/>
          <w:sz w:val="32"/>
          <w:szCs w:val="32"/>
          <w:lang w:val="en-US" w:eastAsia="zh-CN"/>
        </w:rPr>
        <w:t>9.58</w:t>
      </w:r>
      <w:r>
        <w:rPr>
          <w:rFonts w:hint="default" w:ascii="Times New Roman" w:hAnsi="Times New Roman" w:eastAsia="仿宋_GB2312" w:cs="Times New Roman"/>
          <w:sz w:val="32"/>
          <w:szCs w:val="32"/>
          <w:lang w:val="en-US" w:eastAsia="zh-CN"/>
        </w:rPr>
        <w:t>亿元</w:t>
      </w:r>
      <w:r>
        <w:rPr>
          <w:rFonts w:hint="eastAsia" w:ascii="Times New Roman" w:hAnsi="Times New Roman" w:cs="Times New Roman"/>
          <w:sz w:val="32"/>
          <w:szCs w:val="32"/>
          <w:lang w:val="en-US" w:eastAsia="zh-CN"/>
        </w:rPr>
        <w:t>。为</w:t>
      </w:r>
      <w:r>
        <w:rPr>
          <w:rFonts w:hint="eastAsia" w:ascii="Times New Roman" w:hAnsi="Times New Roman" w:cs="Times New Roman"/>
          <w:b w:val="0"/>
          <w:bCs/>
          <w:sz w:val="32"/>
          <w:szCs w:val="32"/>
          <w:u w:val="none"/>
          <w:lang w:val="en-US" w:eastAsia="zh-CN"/>
        </w:rPr>
        <w:t>12.3</w:t>
      </w:r>
      <w:r>
        <w:rPr>
          <w:rFonts w:hint="default" w:ascii="Times New Roman" w:hAnsi="Times New Roman" w:cs="Times New Roman"/>
          <w:b w:val="0"/>
          <w:bCs/>
          <w:sz w:val="32"/>
          <w:szCs w:val="32"/>
          <w:u w:val="none"/>
          <w:lang w:val="en-US" w:eastAsia="zh-CN"/>
        </w:rPr>
        <w:t>万</w:t>
      </w:r>
      <w:r>
        <w:rPr>
          <w:rFonts w:hint="eastAsia" w:ascii="Times New Roman" w:hAnsi="Times New Roman" w:cs="Times New Roman"/>
          <w:b w:val="0"/>
          <w:bCs/>
          <w:sz w:val="32"/>
          <w:szCs w:val="32"/>
          <w:u w:val="none"/>
          <w:lang w:val="en-US" w:eastAsia="zh-CN"/>
        </w:rPr>
        <w:t>名</w:t>
      </w:r>
      <w:r>
        <w:rPr>
          <w:rFonts w:hint="default" w:ascii="Times New Roman" w:hAnsi="Times New Roman" w:cs="Times New Roman"/>
          <w:b w:val="0"/>
          <w:bCs/>
          <w:sz w:val="32"/>
          <w:szCs w:val="32"/>
          <w:u w:val="none"/>
          <w:lang w:val="en-US" w:eastAsia="zh-CN"/>
        </w:rPr>
        <w:t>农民工</w:t>
      </w:r>
      <w:r>
        <w:rPr>
          <w:rFonts w:hint="eastAsia" w:ascii="Times New Roman" w:hAnsi="Times New Roman" w:cs="Times New Roman"/>
          <w:b w:val="0"/>
          <w:bCs/>
          <w:sz w:val="32"/>
          <w:szCs w:val="32"/>
          <w:u w:val="none"/>
          <w:lang w:val="en-US" w:eastAsia="zh-CN"/>
        </w:rPr>
        <w:t>开通仲裁“绿色通道”，让追讨农民工欠薪的效率更高、程序更加公正。</w:t>
      </w:r>
      <w:r>
        <w:rPr>
          <w:rFonts w:hint="eastAsia" w:ascii="Times New Roman" w:hAnsi="Times New Roman" w:cs="Times New Roman"/>
          <w:sz w:val="32"/>
          <w:szCs w:val="32"/>
          <w:lang w:val="en-US" w:eastAsia="zh-CN"/>
        </w:rPr>
        <w:t>一以贯之保持打击欠薪的高压态势，劳动者合法报酬权益得到有效维护。</w:t>
      </w:r>
      <w:r>
        <w:rPr>
          <w:rFonts w:hint="default" w:ascii="Times New Roman" w:hAnsi="Times New Roman" w:eastAsia="黑体" w:cs="Times New Roman"/>
          <w:sz w:val="32"/>
          <w:szCs w:val="32"/>
          <w:lang w:val="en-US" w:eastAsia="zh-CN"/>
        </w:rPr>
        <w:t>加固“不能欠”的制度堤坝。</w:t>
      </w:r>
      <w:r>
        <w:rPr>
          <w:rFonts w:hint="eastAsia" w:ascii="Times New Roman" w:hAnsi="Times New Roman" w:cs="Times New Roman"/>
          <w:sz w:val="32"/>
          <w:szCs w:val="32"/>
          <w:lang w:val="en-US" w:eastAsia="zh-CN"/>
        </w:rPr>
        <w:t>实施“双随机、一公开”制度，</w:t>
      </w:r>
      <w:r>
        <w:rPr>
          <w:rFonts w:hint="default" w:ascii="Times New Roman" w:hAnsi="Times New Roman" w:eastAsia="仿宋_GB2312" w:cs="Times New Roman"/>
          <w:sz w:val="32"/>
          <w:szCs w:val="32"/>
          <w:lang w:val="en-US" w:eastAsia="zh-CN"/>
        </w:rPr>
        <w:t>全省执法机构检查企业</w:t>
      </w:r>
      <w:r>
        <w:rPr>
          <w:rFonts w:hint="eastAsia" w:ascii="Times New Roman" w:hAnsi="Times New Roman" w:cs="Times New Roman"/>
          <w:sz w:val="32"/>
          <w:szCs w:val="32"/>
          <w:lang w:val="en-US" w:eastAsia="zh-CN"/>
        </w:rPr>
        <w:t>170587</w:t>
      </w:r>
      <w:r>
        <w:rPr>
          <w:rFonts w:hint="default" w:ascii="Times New Roman" w:hAnsi="Times New Roman" w:eastAsia="仿宋_GB2312" w:cs="Times New Roman"/>
          <w:sz w:val="32"/>
          <w:szCs w:val="32"/>
          <w:lang w:val="en-US" w:eastAsia="zh-CN"/>
        </w:rPr>
        <w:t>户</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全省</w:t>
      </w:r>
      <w:r>
        <w:rPr>
          <w:rFonts w:hint="eastAsia" w:ascii="Times New Roman" w:hAnsi="Times New Roman" w:cs="Times New Roman"/>
          <w:sz w:val="32"/>
          <w:szCs w:val="32"/>
          <w:lang w:val="en-US" w:eastAsia="zh-CN"/>
        </w:rPr>
        <w:t>13883</w:t>
      </w:r>
      <w:r>
        <w:rPr>
          <w:rFonts w:hint="default" w:ascii="Times New Roman" w:hAnsi="Times New Roman" w:eastAsia="仿宋_GB2312" w:cs="Times New Roman"/>
          <w:sz w:val="32"/>
          <w:szCs w:val="32"/>
          <w:lang w:val="en-US" w:eastAsia="zh-CN"/>
        </w:rPr>
        <w:t>个在建工程项目中，农民工实名制管理、工资保证金、工资专用账户管理制度实施比例分别达99.</w:t>
      </w:r>
      <w:r>
        <w:rPr>
          <w:rFonts w:hint="eastAsia" w:ascii="Times New Roman" w:hAnsi="Times New Roman" w:cs="Times New Roman"/>
          <w:sz w:val="32"/>
          <w:szCs w:val="32"/>
          <w:lang w:val="en-US" w:eastAsia="zh-CN"/>
        </w:rPr>
        <w:t>83</w:t>
      </w:r>
      <w:r>
        <w:rPr>
          <w:rFonts w:hint="default" w:ascii="Times New Roman" w:hAnsi="Times New Roman" w:eastAsia="仿宋_GB2312" w:cs="Times New Roman"/>
          <w:sz w:val="32"/>
          <w:szCs w:val="32"/>
          <w:lang w:val="en-US" w:eastAsia="zh-CN"/>
        </w:rPr>
        <w:t>%、99.</w:t>
      </w:r>
      <w:r>
        <w:rPr>
          <w:rFonts w:hint="eastAsia" w:ascii="Times New Roman" w:hAnsi="Times New Roman" w:cs="Times New Roman"/>
          <w:sz w:val="32"/>
          <w:szCs w:val="32"/>
          <w:lang w:val="en-US" w:eastAsia="zh-CN"/>
        </w:rPr>
        <w:t>83</w:t>
      </w:r>
      <w:r>
        <w:rPr>
          <w:rFonts w:hint="default" w:ascii="Times New Roman" w:hAnsi="Times New Roman" w:eastAsia="仿宋_GB2312" w:cs="Times New Roman"/>
          <w:sz w:val="32"/>
          <w:szCs w:val="32"/>
          <w:lang w:val="en-US" w:eastAsia="zh-CN"/>
        </w:rPr>
        <w:t>%、99.</w:t>
      </w:r>
      <w:r>
        <w:rPr>
          <w:rFonts w:hint="eastAsia" w:ascii="Times New Roman" w:hAnsi="Times New Roman" w:cs="Times New Roman"/>
          <w:sz w:val="32"/>
          <w:szCs w:val="32"/>
          <w:lang w:val="en-US" w:eastAsia="zh-CN"/>
        </w:rPr>
        <w:t>80</w:t>
      </w:r>
      <w:r>
        <w:rPr>
          <w:rFonts w:hint="default"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。根治欠薪制度体系已从夯基垒土、立梁架柱阶段迈向集约协同、优化创新的更高台阶。</w:t>
      </w:r>
      <w:r>
        <w:rPr>
          <w:rFonts w:hint="default" w:ascii="Times New Roman" w:hAnsi="Times New Roman" w:eastAsia="黑体" w:cs="Times New Roman"/>
          <w:sz w:val="32"/>
          <w:szCs w:val="32"/>
          <w:lang w:val="en-US" w:eastAsia="zh-CN"/>
        </w:rPr>
        <w:t>营造“不想欠”的社会环境。</w:t>
      </w:r>
      <w:r>
        <w:rPr>
          <w:rFonts w:hint="default" w:ascii="Times New Roman" w:hAnsi="Times New Roman" w:eastAsia="仿宋_GB2312" w:cs="Times New Roman"/>
          <w:sz w:val="32"/>
          <w:szCs w:val="32"/>
          <w:lang w:val="en-US" w:eastAsia="zh-CN"/>
        </w:rPr>
        <w:t>对全省15</w:t>
      </w:r>
      <w:r>
        <w:rPr>
          <w:rFonts w:hint="eastAsia" w:ascii="Times New Roman" w:hAnsi="Times New Roman" w:cs="Times New Roman"/>
          <w:sz w:val="32"/>
          <w:szCs w:val="32"/>
          <w:lang w:val="en-US" w:eastAsia="zh-CN"/>
        </w:rPr>
        <w:t>9.44</w:t>
      </w:r>
      <w:r>
        <w:rPr>
          <w:rFonts w:hint="default" w:ascii="Times New Roman" w:hAnsi="Times New Roman" w:eastAsia="仿宋_GB2312" w:cs="Times New Roman"/>
          <w:sz w:val="32"/>
          <w:szCs w:val="32"/>
          <w:lang w:val="en-US" w:eastAsia="zh-CN"/>
        </w:rPr>
        <w:t>万户企业实施企业劳动保障守法诚信等级评价。向社会曝光欠薪用人单位</w:t>
      </w:r>
      <w:r>
        <w:rPr>
          <w:rFonts w:hint="eastAsia" w:ascii="Times New Roman" w:hAnsi="Times New Roman" w:cs="Times New Roman"/>
          <w:sz w:val="32"/>
          <w:szCs w:val="32"/>
          <w:lang w:val="en-US" w:eastAsia="zh-CN"/>
        </w:rPr>
        <w:t>470</w:t>
      </w:r>
      <w:r>
        <w:rPr>
          <w:rFonts w:hint="default" w:ascii="Times New Roman" w:hAnsi="Times New Roman" w:eastAsia="仿宋_GB2312" w:cs="Times New Roman"/>
          <w:sz w:val="32"/>
          <w:szCs w:val="32"/>
          <w:lang w:val="en-US" w:eastAsia="zh-CN"/>
        </w:rPr>
        <w:t>家（次），纳入30多个部门联合惩戒。</w:t>
      </w:r>
      <w:r>
        <w:rPr>
          <w:rFonts w:hint="eastAsia" w:ascii="Times New Roman" w:hAnsi="Times New Roman" w:cs="Times New Roman"/>
          <w:sz w:val="32"/>
          <w:szCs w:val="32"/>
          <w:lang w:val="en-US" w:eastAsia="zh-CN"/>
        </w:rPr>
        <w:t>开展“线下现场培训 + 线上同步直播”企业劳动法大讲堂。</w:t>
      </w:r>
      <w:r>
        <w:rPr>
          <w:rFonts w:hint="default" w:ascii="Times New Roman" w:hAnsi="Times New Roman" w:eastAsia="仿宋_GB2312" w:cs="Times New Roman"/>
          <w:sz w:val="32"/>
          <w:szCs w:val="32"/>
          <w:lang w:val="en-US" w:eastAsia="zh-CN"/>
        </w:rPr>
        <w:t>将省解决拖欠农民工工资问题联席会议调整为工作领导小组，把成员单位从14个扩大至26个</w:t>
      </w:r>
      <w:r>
        <w:rPr>
          <w:rFonts w:hint="eastAsia" w:ascii="Times New Roman" w:hAnsi="Times New Roman" w:cs="Times New Roman"/>
          <w:sz w:val="32"/>
          <w:szCs w:val="32"/>
          <w:lang w:val="en-US" w:eastAsia="zh-CN"/>
        </w:rPr>
        <w:t>。广东人社正凝聚更大合力，画好根治欠薪同心圆。</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Times New Roman" w:hAnsi="Times New Roman" w:cs="Times New Roman"/>
          <w:lang w:val="en-US" w:eastAsia="zh-CN"/>
        </w:rPr>
      </w:pPr>
      <w:r>
        <w:rPr>
          <w:rFonts w:hint="default" w:ascii="Times New Roman" w:hAnsi="Times New Roman" w:eastAsia="楷体_GB2312" w:cs="Times New Roman"/>
          <w:b/>
          <w:bCs/>
          <w:sz w:val="32"/>
          <w:szCs w:val="32"/>
          <w:lang w:val="en-US" w:eastAsia="zh-CN"/>
        </w:rPr>
        <w:t>六是坚持以关口前移压减纠纷，筑牢防范化解重大风险的法治保障。</w:t>
      </w:r>
      <w:r>
        <w:rPr>
          <w:rFonts w:hint="default" w:ascii="Times New Roman" w:hAnsi="Times New Roman" w:eastAsia="仿宋_GB2312" w:cs="Times New Roman"/>
          <w:sz w:val="32"/>
          <w:szCs w:val="32"/>
          <w:lang w:val="en-US" w:eastAsia="zh-CN"/>
        </w:rPr>
        <w:t>把纠纷化解着力点放在前置防线、前瞻治理、前端控制，把矛盾化解在早、化解在小。</w:t>
      </w:r>
      <w:r>
        <w:rPr>
          <w:rFonts w:hint="default" w:ascii="Times New Roman" w:hAnsi="Times New Roman" w:eastAsia="黑体" w:cs="Times New Roman"/>
          <w:sz w:val="32"/>
          <w:szCs w:val="32"/>
          <w:lang w:val="en-US" w:eastAsia="zh-CN"/>
        </w:rPr>
        <w:t>打造和谐劳动关系“稳定器”。</w:t>
      </w:r>
      <w:r>
        <w:rPr>
          <w:rFonts w:hint="default" w:ascii="Times New Roman" w:hAnsi="Times New Roman" w:eastAsia="仿宋_GB2312" w:cs="Times New Roman"/>
          <w:sz w:val="32"/>
          <w:szCs w:val="32"/>
          <w:lang w:val="en-US" w:eastAsia="zh-CN"/>
        </w:rPr>
        <w:t>指导深圳盐田区开展深化构建和谐劳动关系综合配套改革试点</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出台规范劳务派遣管理政策</w:t>
      </w:r>
      <w:r>
        <w:rPr>
          <w:rFonts w:hint="eastAsia" w:ascii="Times New Roman" w:hAnsi="Times New Roman" w:cs="Times New Roman"/>
          <w:sz w:val="32"/>
          <w:szCs w:val="32"/>
          <w:lang w:val="en-US" w:eastAsia="zh-CN"/>
        </w:rPr>
        <w:t>并</w:t>
      </w:r>
      <w:r>
        <w:rPr>
          <w:rFonts w:hint="default" w:ascii="Times New Roman" w:hAnsi="Times New Roman" w:eastAsia="仿宋_GB2312" w:cs="Times New Roman"/>
          <w:sz w:val="32"/>
          <w:szCs w:val="32"/>
          <w:lang w:val="en-US" w:eastAsia="zh-CN"/>
        </w:rPr>
        <w:t>启用劳务派遣管理信息系统</w:t>
      </w:r>
      <w:r>
        <w:rPr>
          <w:rFonts w:hint="eastAsia" w:ascii="Times New Roman" w:hAnsi="Times New Roman" w:cs="Times New Roman"/>
          <w:sz w:val="32"/>
          <w:szCs w:val="32"/>
          <w:lang w:val="en-US" w:eastAsia="zh-CN"/>
        </w:rPr>
        <w:t>。启动运营</w:t>
      </w:r>
      <w:r>
        <w:rPr>
          <w:rFonts w:hint="eastAsia" w:ascii="Times New Roman" w:hAnsi="Times New Roman" w:cs="Times New Roman"/>
        </w:rPr>
        <w:t>粤港澳大湾区劳动争议联合调解中心珠海（横琴）、广州（琶洲）速调快裁服务站</w:t>
      </w:r>
      <w:r>
        <w:rPr>
          <w:rFonts w:hint="eastAsia" w:ascii="Times New Roman" w:hAnsi="Times New Roman" w:cs="Times New Roman"/>
          <w:lang w:eastAsia="zh-CN"/>
        </w:rPr>
        <w:t>，</w:t>
      </w:r>
      <w:r>
        <w:rPr>
          <w:rFonts w:hint="eastAsia" w:ascii="Times New Roman" w:hAnsi="Times New Roman" w:cs="Times New Roman"/>
        </w:rPr>
        <w:t>促进粤港澳三地劳动用工融合及纠纷处理衔接。</w:t>
      </w:r>
      <w:r>
        <w:rPr>
          <w:rFonts w:hint="eastAsia" w:ascii="Times New Roman" w:hAnsi="Times New Roman" w:cs="Times New Roman"/>
          <w:sz w:val="32"/>
          <w:szCs w:val="32"/>
          <w:lang w:val="en-US" w:eastAsia="zh-CN"/>
        </w:rPr>
        <w:t xml:space="preserve">坚决不让纠纷牵着鼻子走，下好防范化解劳资纠纷“先手棋”。 </w:t>
      </w:r>
      <w:r>
        <w:rPr>
          <w:rFonts w:hint="default" w:ascii="Times New Roman" w:hAnsi="Times New Roman" w:eastAsia="黑体" w:cs="Times New Roman"/>
          <w:sz w:val="32"/>
          <w:szCs w:val="32"/>
          <w:lang w:val="en-US" w:eastAsia="zh-CN"/>
        </w:rPr>
        <w:t>打好防控行政风险“组合拳”。</w:t>
      </w:r>
      <w:r>
        <w:rPr>
          <w:rFonts w:hint="eastAsia" w:ascii="仿宋_GB2312" w:hAnsi="仿宋_GB2312" w:eastAsia="仿宋_GB2312" w:cs="仿宋_GB2312"/>
          <w:sz w:val="32"/>
          <w:szCs w:val="32"/>
          <w:lang w:val="en-US" w:eastAsia="zh-CN"/>
        </w:rPr>
        <w:t>推动广州下放视同缴费年限审核权限，</w:t>
      </w:r>
      <w:r>
        <w:rPr>
          <w:rFonts w:hint="eastAsia" w:ascii="仿宋_GB2312" w:hAnsi="仿宋_GB2312" w:cs="仿宋_GB2312"/>
          <w:sz w:val="32"/>
          <w:szCs w:val="32"/>
          <w:lang w:val="en-US" w:eastAsia="zh-CN"/>
        </w:rPr>
        <w:t>理顺深圳、东莞劳监执法和社保经办职能配置，规范社保行政文书送达流程，</w:t>
      </w:r>
      <w:r>
        <w:rPr>
          <w:rFonts w:hint="eastAsia" w:ascii="Times New Roman" w:hAnsi="Times New Roman" w:cs="Times New Roman"/>
          <w:sz w:val="32"/>
          <w:szCs w:val="32"/>
          <w:lang w:val="en-US" w:eastAsia="zh-CN"/>
        </w:rPr>
        <w:t>梳理制订人社法律风险点。</w:t>
      </w:r>
      <w:r>
        <w:rPr>
          <w:rFonts w:hint="default" w:ascii="Times New Roman" w:hAnsi="Times New Roman" w:eastAsia="仿宋_GB2312" w:cs="Times New Roman"/>
          <w:sz w:val="32"/>
          <w:szCs w:val="32"/>
          <w:lang w:val="en-US" w:eastAsia="zh-CN"/>
        </w:rPr>
        <w:t>厅受理行政复议案件2</w:t>
      </w:r>
      <w:r>
        <w:rPr>
          <w:rFonts w:hint="eastAsia" w:ascii="Times New Roman" w:hAnsi="Times New Roman" w:cs="Times New Roman"/>
          <w:sz w:val="32"/>
          <w:szCs w:val="32"/>
          <w:lang w:val="en-US" w:eastAsia="zh-CN"/>
        </w:rPr>
        <w:t>48</w:t>
      </w:r>
      <w:r>
        <w:rPr>
          <w:rFonts w:hint="default" w:ascii="Times New Roman" w:hAnsi="Times New Roman" w:eastAsia="仿宋_GB2312" w:cs="Times New Roman"/>
          <w:sz w:val="32"/>
          <w:szCs w:val="32"/>
          <w:lang w:val="en-US" w:eastAsia="zh-CN"/>
        </w:rPr>
        <w:t>件，同比减少2</w:t>
      </w:r>
      <w:r>
        <w:rPr>
          <w:rFonts w:hint="eastAsia" w:ascii="Times New Roman" w:hAnsi="Times New Roman" w:cs="Times New Roman"/>
          <w:sz w:val="32"/>
          <w:szCs w:val="32"/>
          <w:lang w:val="en-US" w:eastAsia="zh-CN"/>
        </w:rPr>
        <w:t>6.63</w:t>
      </w:r>
      <w:r>
        <w:rPr>
          <w:rFonts w:hint="default" w:ascii="Times New Roman" w:hAnsi="Times New Roman" w:eastAsia="仿宋_GB2312" w:cs="Times New Roman"/>
          <w:sz w:val="32"/>
          <w:szCs w:val="32"/>
          <w:lang w:val="en-US" w:eastAsia="zh-CN"/>
        </w:rPr>
        <w:t>%；一审出庭应诉</w:t>
      </w:r>
      <w:r>
        <w:rPr>
          <w:rFonts w:hint="eastAsia" w:ascii="Times New Roman" w:hAnsi="Times New Roman" w:cs="Times New Roman"/>
          <w:sz w:val="32"/>
          <w:szCs w:val="32"/>
          <w:lang w:val="en-US" w:eastAsia="zh-CN"/>
        </w:rPr>
        <w:t>62</w:t>
      </w:r>
      <w:r>
        <w:rPr>
          <w:rFonts w:hint="default" w:ascii="Times New Roman" w:hAnsi="Times New Roman" w:eastAsia="仿宋_GB2312" w:cs="Times New Roman"/>
          <w:sz w:val="32"/>
          <w:szCs w:val="32"/>
          <w:lang w:val="en-US" w:eastAsia="zh-CN"/>
        </w:rPr>
        <w:t>次，</w:t>
      </w:r>
      <w:r>
        <w:rPr>
          <w:rFonts w:hint="eastAsia" w:ascii="Times New Roman" w:hAnsi="Times New Roman" w:cs="Times New Roman"/>
          <w:sz w:val="32"/>
          <w:szCs w:val="32"/>
          <w:lang w:val="en-US" w:eastAsia="zh-CN"/>
        </w:rPr>
        <w:t>同比</w:t>
      </w:r>
      <w:r>
        <w:rPr>
          <w:rFonts w:hint="default" w:ascii="Times New Roman" w:hAnsi="Times New Roman" w:eastAsia="仿宋_GB2312" w:cs="Times New Roman"/>
          <w:sz w:val="32"/>
          <w:szCs w:val="32"/>
          <w:lang w:val="en-US" w:eastAsia="zh-CN"/>
        </w:rPr>
        <w:t>减少5件，减少7.46%。其中厅领导出庭15次</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全省各市工伤保险行政争议总量同比下降10.09%</w:t>
      </w:r>
      <w:r>
        <w:rPr>
          <w:rFonts w:hint="eastAsia" w:ascii="Times New Roman" w:hAnsi="Times New Roman" w:cs="Times New Roman"/>
          <w:sz w:val="32"/>
          <w:szCs w:val="32"/>
          <w:lang w:val="en-US" w:eastAsia="zh-CN"/>
        </w:rPr>
        <w:t>。行政争议压减正朝着“减存量、控增量、防变量”的方向稳步前进。</w:t>
      </w:r>
      <w:r>
        <w:rPr>
          <w:rFonts w:hint="default" w:ascii="Times New Roman" w:hAnsi="Times New Roman" w:eastAsia="黑体" w:cs="Times New Roman"/>
          <w:sz w:val="32"/>
          <w:szCs w:val="32"/>
          <w:lang w:val="en-US" w:eastAsia="zh-CN"/>
        </w:rPr>
        <w:t>铸牢纠纷多元化解“减压阀”。</w:t>
      </w:r>
      <w:r>
        <w:rPr>
          <w:rFonts w:hint="eastAsia" w:ascii="Times New Roman" w:hAnsi="Times New Roman" w:cs="Times New Roman"/>
        </w:rPr>
        <w:t>推广“粤省事”微信小程序在线调解仲裁服务，省劳动人事争议调解中心</w:t>
      </w:r>
      <w:r>
        <w:rPr>
          <w:rFonts w:hint="eastAsia" w:ascii="Times New Roman" w:hAnsi="Times New Roman" w:cs="Times New Roman"/>
          <w:lang w:val="en-US" w:eastAsia="zh-CN"/>
        </w:rPr>
        <w:t>在线调解业务覆盖16个地市，出台基层调解工作考评激励等政策，在受案数量较多仲裁机构设立</w:t>
      </w:r>
      <w:r>
        <w:rPr>
          <w:rFonts w:hint="eastAsia" w:ascii="Times New Roman" w:hAnsi="Times New Roman" w:cs="Times New Roman"/>
        </w:rPr>
        <w:t>法律援助工作站</w:t>
      </w:r>
      <w:r>
        <w:rPr>
          <w:rFonts w:hint="eastAsia" w:ascii="Times New Roman" w:hAnsi="Times New Roman" w:cs="Times New Roman"/>
          <w:lang w:eastAsia="zh-CN"/>
        </w:rPr>
        <w:t>。</w:t>
      </w:r>
      <w:r>
        <w:rPr>
          <w:rFonts w:hint="eastAsia" w:ascii="Times New Roman" w:hAnsi="Times New Roman" w:eastAsia="仿宋_GB2312" w:cs="Times New Roman"/>
          <w:color w:val="auto"/>
          <w:sz w:val="32"/>
          <w:szCs w:val="32"/>
          <w:lang w:val="en-US" w:eastAsia="zh-CN"/>
        </w:rPr>
        <w:t>经努力，</w:t>
      </w:r>
      <w:r>
        <w:rPr>
          <w:rFonts w:hint="default" w:ascii="Times New Roman" w:hAnsi="Times New Roman" w:eastAsia="仿宋_GB2312" w:cs="Times New Roman"/>
          <w:color w:val="auto"/>
        </w:rPr>
        <w:t>全省共</w:t>
      </w:r>
      <w:r>
        <w:rPr>
          <w:rFonts w:hint="eastAsia" w:ascii="Times New Roman" w:hAnsi="Times New Roman" w:cs="Times New Roman"/>
          <w:b w:val="0"/>
          <w:bCs w:val="0"/>
          <w:color w:val="auto"/>
          <w:sz w:val="32"/>
          <w:szCs w:val="32"/>
          <w:u w:val="none"/>
          <w:lang w:val="en-US" w:eastAsia="zh-CN"/>
        </w:rPr>
        <w:t>办结劳动人事争议案件40.59万件，其中</w:t>
      </w:r>
      <w:r>
        <w:rPr>
          <w:rFonts w:hint="eastAsia" w:ascii="Times New Roman" w:hAnsi="Times New Roman" w:cs="Times New Roman"/>
          <w:lang w:val="en-US" w:eastAsia="zh-CN"/>
        </w:rPr>
        <w:t>调解结案数量占比约58.3%，</w:t>
      </w:r>
      <w:r>
        <w:rPr>
          <w:rFonts w:hint="eastAsia" w:ascii="Times New Roman" w:hAnsi="Times New Roman" w:cs="Times New Roman"/>
        </w:rPr>
        <w:t>涉案金额37.3亿元</w:t>
      </w:r>
      <w:r>
        <w:rPr>
          <w:rFonts w:hint="eastAsia" w:ascii="Times New Roman" w:hAnsi="Times New Roman" w:cs="Times New Roman"/>
          <w:lang w:eastAsia="zh-CN"/>
        </w:rPr>
        <w:t>，</w:t>
      </w:r>
      <w:r>
        <w:rPr>
          <w:rFonts w:hint="eastAsia" w:ascii="Times New Roman" w:hAnsi="Times New Roman" w:cs="Times New Roman"/>
        </w:rPr>
        <w:t>调解成功率达到74.4%</w:t>
      </w:r>
      <w:r>
        <w:rPr>
          <w:rFonts w:hint="eastAsia" w:ascii="Times New Roman" w:hAnsi="Times New Roman" w:cs="Times New Roman"/>
          <w:lang w:eastAsia="zh-CN"/>
        </w:rPr>
        <w:t>，</w:t>
      </w:r>
      <w:r>
        <w:rPr>
          <w:rFonts w:hint="eastAsia" w:ascii="Times New Roman" w:hAnsi="Times New Roman" w:cs="Times New Roman"/>
          <w:lang w:val="en-US" w:eastAsia="zh-CN"/>
        </w:rPr>
        <w:t>更多群众选择调解等柔性方式消除纠纷，劳动人事争议总体平稳可控。</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七是坚持以深度普法厚植氛围，增强人社法治宣传教育的感召力和渗透力。</w:t>
      </w:r>
      <w:r>
        <w:rPr>
          <w:rFonts w:hint="default" w:ascii="Times New Roman" w:hAnsi="Times New Roman" w:eastAsia="仿宋_GB2312" w:cs="Times New Roman"/>
          <w:sz w:val="32"/>
          <w:szCs w:val="32"/>
          <w:lang w:val="en-US" w:eastAsia="zh-CN"/>
        </w:rPr>
        <w:t>按照守阵地、拓渠道、创品牌的思路纵深推进人社普法，让法治思维润物无声、蔚然成风。</w:t>
      </w:r>
      <w:r>
        <w:rPr>
          <w:rFonts w:hint="default" w:ascii="Times New Roman" w:hAnsi="Times New Roman" w:eastAsia="黑体" w:cs="Times New Roman"/>
          <w:sz w:val="32"/>
          <w:szCs w:val="32"/>
          <w:lang w:val="en-US" w:eastAsia="zh-CN"/>
        </w:rPr>
        <w:t>输出“三送”暖流惠万企。</w:t>
      </w:r>
      <w:r>
        <w:rPr>
          <w:rFonts w:hint="default" w:ascii="Times New Roman" w:hAnsi="Times New Roman" w:eastAsia="仿宋_GB2312" w:cs="Times New Roman"/>
          <w:sz w:val="32"/>
          <w:szCs w:val="32"/>
          <w:lang w:val="en-US" w:eastAsia="zh-CN"/>
        </w:rPr>
        <w:t>聚焦百个重大项目、制造业百强企业、商贸流通业百强企业，一对一开展“送政策、送资金、送技工”活动</w:t>
      </w:r>
      <w:r>
        <w:rPr>
          <w:rFonts w:hint="eastAsia" w:ascii="Times New Roman" w:hAnsi="Times New Roman" w:cs="Times New Roman"/>
          <w:sz w:val="32"/>
          <w:szCs w:val="32"/>
          <w:lang w:val="en-US" w:eastAsia="zh-CN"/>
        </w:rPr>
        <w:t>，为全省306.8万家企业减免、延缓社保费1970.6亿元，配套</w:t>
      </w:r>
      <w:r>
        <w:rPr>
          <w:rFonts w:hint="default" w:ascii="Times New Roman" w:hAnsi="Times New Roman" w:eastAsia="仿宋_GB2312" w:cs="Times New Roman"/>
          <w:sz w:val="32"/>
          <w:szCs w:val="32"/>
          <w:lang w:val="en-US" w:eastAsia="zh-CN"/>
        </w:rPr>
        <w:t>举办阶段性减免社保费业务培训视频会</w:t>
      </w:r>
      <w:r>
        <w:rPr>
          <w:rFonts w:hint="eastAsia" w:ascii="Times New Roman" w:hAnsi="Times New Roman" w:cs="Times New Roman"/>
          <w:sz w:val="32"/>
          <w:szCs w:val="32"/>
          <w:lang w:val="en-US" w:eastAsia="zh-CN"/>
        </w:rPr>
        <w:t>，上门</w:t>
      </w:r>
      <w:r>
        <w:rPr>
          <w:rFonts w:hint="default" w:ascii="Times New Roman" w:hAnsi="Times New Roman" w:eastAsia="仿宋_GB2312" w:cs="Times New Roman"/>
          <w:sz w:val="32"/>
          <w:szCs w:val="32"/>
          <w:lang w:val="en-US" w:eastAsia="zh-CN"/>
        </w:rPr>
        <w:t>开展“春风送暖、社保惠企”宣讲活动</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“点对点”增强企业对政策知晓度</w:t>
      </w:r>
      <w:r>
        <w:rPr>
          <w:rFonts w:hint="eastAsia" w:ascii="Times New Roman" w:hAnsi="Times New Roman" w:cs="Times New Roman"/>
          <w:sz w:val="32"/>
          <w:szCs w:val="32"/>
          <w:lang w:val="en-US" w:eastAsia="zh-CN"/>
        </w:rPr>
        <w:t>。</w:t>
      </w:r>
      <w:r>
        <w:rPr>
          <w:rFonts w:hint="default" w:ascii="Times New Roman" w:hAnsi="Times New Roman" w:eastAsia="黑体" w:cs="Times New Roman"/>
          <w:sz w:val="32"/>
          <w:szCs w:val="32"/>
          <w:lang w:val="en-US" w:eastAsia="zh-CN"/>
        </w:rPr>
        <w:t>运用知识竞赛添动力。</w:t>
      </w:r>
      <w:r>
        <w:rPr>
          <w:rFonts w:hint="default" w:ascii="Times New Roman" w:hAnsi="Times New Roman" w:eastAsia="仿宋_GB2312" w:cs="Times New Roman"/>
          <w:sz w:val="32"/>
          <w:szCs w:val="32"/>
          <w:lang w:val="en-US" w:eastAsia="zh-CN"/>
        </w:rPr>
        <w:t>组织全省42.25万人次参与人社法治知识网络竞赛答题</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开展窗口单位业务技能练兵比武“日日学、周周练、月月比”活动，全省约32.3万人次</w:t>
      </w:r>
      <w:r>
        <w:rPr>
          <w:rFonts w:hint="eastAsia" w:ascii="Times New Roman" w:hAnsi="Times New Roman" w:cs="Times New Roman"/>
          <w:sz w:val="32"/>
          <w:szCs w:val="32"/>
          <w:lang w:val="en-US" w:eastAsia="zh-CN"/>
        </w:rPr>
        <w:t>参与每日学习，</w:t>
      </w:r>
      <w:r>
        <w:rPr>
          <w:rFonts w:hint="default" w:ascii="Times New Roman" w:hAnsi="Times New Roman" w:eastAsia="仿宋_GB2312" w:cs="Times New Roman"/>
          <w:sz w:val="32"/>
          <w:szCs w:val="32"/>
          <w:lang w:val="en-US" w:eastAsia="zh-CN"/>
        </w:rPr>
        <w:t>22.5万人次</w:t>
      </w:r>
      <w:r>
        <w:rPr>
          <w:rFonts w:hint="eastAsia" w:ascii="Times New Roman" w:hAnsi="Times New Roman" w:cs="Times New Roman"/>
          <w:sz w:val="32"/>
          <w:szCs w:val="32"/>
          <w:lang w:val="en-US" w:eastAsia="zh-CN"/>
        </w:rPr>
        <w:t>参与每周答题，</w:t>
      </w:r>
      <w:r>
        <w:rPr>
          <w:rFonts w:hint="default" w:ascii="Times New Roman" w:hAnsi="Times New Roman" w:eastAsia="仿宋_GB2312" w:cs="Times New Roman"/>
          <w:sz w:val="32"/>
          <w:szCs w:val="32"/>
          <w:lang w:val="en-US" w:eastAsia="zh-CN"/>
        </w:rPr>
        <w:t>1.2万人次</w:t>
      </w:r>
      <w:r>
        <w:rPr>
          <w:rFonts w:hint="eastAsia" w:ascii="Times New Roman" w:hAnsi="Times New Roman" w:cs="Times New Roman"/>
          <w:sz w:val="32"/>
          <w:szCs w:val="32"/>
          <w:lang w:val="en-US" w:eastAsia="zh-CN"/>
        </w:rPr>
        <w:t>参与每月比赛。你追我赶、以赛促学的良好局面逐渐形成。</w:t>
      </w:r>
      <w:r>
        <w:rPr>
          <w:rFonts w:hint="eastAsia" w:ascii="Times New Roman" w:hAnsi="Times New Roman" w:eastAsia="黑体" w:cs="Times New Roman"/>
          <w:sz w:val="32"/>
          <w:szCs w:val="32"/>
          <w:lang w:val="en-US" w:eastAsia="zh-CN"/>
        </w:rPr>
        <w:t>借助多种方式</w:t>
      </w:r>
      <w:r>
        <w:rPr>
          <w:rFonts w:hint="default" w:ascii="Times New Roman" w:hAnsi="Times New Roman" w:eastAsia="黑体" w:cs="Times New Roman"/>
          <w:sz w:val="32"/>
          <w:szCs w:val="32"/>
          <w:lang w:val="en-US" w:eastAsia="zh-CN"/>
        </w:rPr>
        <w:t>扩影响。</w:t>
      </w:r>
      <w:r>
        <w:rPr>
          <w:rFonts w:hint="eastAsia" w:ascii="Times New Roman" w:hAnsi="Times New Roman" w:eastAsia="仿宋_GB2312" w:cs="Times New Roman"/>
          <w:sz w:val="32"/>
          <w:szCs w:val="32"/>
          <w:lang w:val="en-US" w:eastAsia="zh-CN"/>
        </w:rPr>
        <w:t>中央和</w:t>
      </w:r>
      <w:r>
        <w:rPr>
          <w:rFonts w:hint="default" w:ascii="Times New Roman" w:hAnsi="Times New Roman" w:eastAsia="仿宋_GB2312" w:cs="Times New Roman"/>
          <w:sz w:val="32"/>
          <w:szCs w:val="32"/>
          <w:lang w:val="en-US" w:eastAsia="zh-CN"/>
        </w:rPr>
        <w:t>省</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lang w:val="en-US" w:eastAsia="zh-CN"/>
        </w:rPr>
        <w:t>主流新闻媒体政策宣传</w:t>
      </w:r>
      <w:r>
        <w:rPr>
          <w:rFonts w:hint="eastAsia" w:ascii="Times New Roman" w:hAnsi="Times New Roman" w:eastAsia="仿宋_GB2312" w:cs="Times New Roman"/>
          <w:sz w:val="32"/>
          <w:szCs w:val="32"/>
          <w:lang w:val="en-US" w:eastAsia="zh-CN"/>
        </w:rPr>
        <w:t>近百</w:t>
      </w:r>
      <w:r>
        <w:rPr>
          <w:rFonts w:hint="default" w:ascii="Times New Roman" w:hAnsi="Times New Roman" w:eastAsia="仿宋_GB2312" w:cs="Times New Roman"/>
          <w:sz w:val="32"/>
          <w:szCs w:val="32"/>
          <w:lang w:val="en-US" w:eastAsia="zh-CN"/>
        </w:rPr>
        <w:t>篇/次</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“广东人社”微信公众号阅读量超过</w:t>
      </w:r>
      <w:r>
        <w:rPr>
          <w:rFonts w:hint="eastAsia" w:ascii="Times New Roman" w:hAnsi="Times New Roman" w:eastAsia="仿宋_GB2312" w:cs="Times New Roman"/>
          <w:sz w:val="32"/>
          <w:szCs w:val="32"/>
          <w:lang w:val="en-US" w:eastAsia="zh-CN"/>
        </w:rPr>
        <w:t>808</w:t>
      </w:r>
      <w:r>
        <w:rPr>
          <w:rFonts w:hint="default" w:ascii="Times New Roman" w:hAnsi="Times New Roman" w:eastAsia="仿宋_GB2312" w:cs="Times New Roman"/>
          <w:sz w:val="32"/>
          <w:szCs w:val="32"/>
          <w:lang w:val="en-US" w:eastAsia="zh-CN"/>
        </w:rPr>
        <w:t>万次，关注人数</w:t>
      </w:r>
      <w:r>
        <w:rPr>
          <w:rFonts w:hint="eastAsia" w:ascii="Times New Roman" w:hAnsi="Times New Roman" w:eastAsia="仿宋_GB2312" w:cs="Times New Roman"/>
          <w:sz w:val="32"/>
          <w:szCs w:val="32"/>
          <w:lang w:val="en-US" w:eastAsia="zh-CN"/>
        </w:rPr>
        <w:t>约95</w:t>
      </w:r>
      <w:r>
        <w:rPr>
          <w:rFonts w:hint="default" w:ascii="Times New Roman" w:hAnsi="Times New Roman" w:eastAsia="仿宋_GB2312" w:cs="Times New Roman"/>
          <w:sz w:val="32"/>
          <w:szCs w:val="32"/>
          <w:lang w:val="en-US" w:eastAsia="zh-CN"/>
        </w:rPr>
        <w:t>万人</w:t>
      </w:r>
      <w:r>
        <w:rPr>
          <w:rFonts w:hint="eastAsia" w:ascii="Times New Roman" w:hAnsi="Times New Roman" w:cs="Times New Roman"/>
          <w:sz w:val="32"/>
          <w:szCs w:val="32"/>
          <w:lang w:val="en-US" w:eastAsia="zh-CN"/>
        </w:rPr>
        <w:t>。“厅长上直播”网上政策解读观看人次超40万。以案释法发布两批共11个疫情防控期间调解仲裁典型案例。</w:t>
      </w:r>
      <w:r>
        <w:rPr>
          <w:rFonts w:hint="eastAsia" w:ascii="Times New Roman" w:hAnsi="Times New Roman" w:cs="Times New Roman"/>
        </w:rPr>
        <w:t>向全省约3亿手机用户发送在线调解宣传公益短信</w:t>
      </w:r>
      <w:r>
        <w:rPr>
          <w:rFonts w:hint="eastAsia" w:ascii="Times New Roman" w:hAnsi="Times New Roman" w:cs="Times New Roman"/>
          <w:lang w:eastAsia="zh-CN"/>
        </w:rPr>
        <w:t>。</w:t>
      </w:r>
      <w:r>
        <w:rPr>
          <w:rFonts w:hint="eastAsia" w:ascii="Times New Roman" w:hAnsi="Times New Roman" w:cs="Times New Roman"/>
          <w:sz w:val="32"/>
          <w:szCs w:val="32"/>
          <w:lang w:val="en-US" w:eastAsia="zh-CN"/>
        </w:rPr>
        <w:t>实施</w:t>
      </w:r>
      <w:r>
        <w:rPr>
          <w:rFonts w:hint="default" w:ascii="Times New Roman" w:hAnsi="Times New Roman" w:eastAsia="仿宋_GB2312" w:cs="Times New Roman"/>
          <w:sz w:val="32"/>
          <w:szCs w:val="32"/>
          <w:lang w:val="en-US" w:eastAsia="zh-CN"/>
        </w:rPr>
        <w:t>“民法典进机关、进技工院校”行动</w:t>
      </w:r>
      <w:r>
        <w:rPr>
          <w:rFonts w:hint="eastAsia" w:ascii="Times New Roman" w:hAnsi="Times New Roman" w:cs="Times New Roman"/>
          <w:sz w:val="32"/>
          <w:szCs w:val="32"/>
          <w:lang w:val="en-US" w:eastAsia="zh-CN"/>
        </w:rPr>
        <w:t>。铺开“工伤保险走进工地”集中宣传培训活动。进行《保障农民工工资支付条例》轮训。融媒体普法让人社部门解读发声更权威及时。</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法治建设工作虽然取得成效，但与中央、省委和省政府的要求以及人民群众期盼相比还</w:t>
      </w:r>
      <w:r>
        <w:rPr>
          <w:rFonts w:hint="eastAsia" w:ascii="Times New Roman" w:hAnsi="Times New Roman" w:cs="Times New Roman"/>
          <w:sz w:val="32"/>
          <w:szCs w:val="32"/>
          <w:lang w:val="en-US" w:eastAsia="zh-CN"/>
        </w:rPr>
        <w:t>有</w:t>
      </w:r>
      <w:r>
        <w:rPr>
          <w:rFonts w:hint="default" w:ascii="Times New Roman" w:hAnsi="Times New Roman" w:cs="Times New Roman"/>
          <w:sz w:val="32"/>
          <w:szCs w:val="32"/>
          <w:lang w:val="en-US" w:eastAsia="zh-CN"/>
        </w:rPr>
        <w:t>差距：劳资纠纷、行政纠纷预防化解任务</w:t>
      </w:r>
      <w:r>
        <w:rPr>
          <w:rFonts w:hint="eastAsia" w:ascii="Times New Roman" w:hAnsi="Times New Roman" w:cs="Times New Roman"/>
          <w:sz w:val="32"/>
          <w:szCs w:val="32"/>
          <w:lang w:val="en-US" w:eastAsia="zh-CN"/>
        </w:rPr>
        <w:t>仍然</w:t>
      </w:r>
      <w:r>
        <w:rPr>
          <w:rFonts w:hint="default" w:ascii="Times New Roman" w:hAnsi="Times New Roman" w:cs="Times New Roman"/>
          <w:sz w:val="32"/>
          <w:szCs w:val="32"/>
          <w:lang w:val="en-US" w:eastAsia="zh-CN"/>
        </w:rPr>
        <w:t>繁重</w:t>
      </w:r>
      <w:r>
        <w:rPr>
          <w:rFonts w:hint="eastAsia" w:ascii="Times New Roman" w:hAnsi="Times New Roman" w:cs="Times New Roman"/>
          <w:sz w:val="32"/>
          <w:szCs w:val="32"/>
          <w:lang w:val="en-US" w:eastAsia="zh-CN"/>
        </w:rPr>
        <w:t>，部分</w:t>
      </w:r>
      <w:r>
        <w:rPr>
          <w:rFonts w:hint="default" w:ascii="Times New Roman" w:hAnsi="Times New Roman" w:cs="Times New Roman"/>
          <w:sz w:val="32"/>
          <w:szCs w:val="32"/>
          <w:lang w:val="en-US" w:eastAsia="zh-CN"/>
        </w:rPr>
        <w:t>基层人社部门在执法过程中存在标准不一、调查欠缺、依据不当等问题</w:t>
      </w:r>
      <w:r>
        <w:rPr>
          <w:rFonts w:hint="eastAsia" w:ascii="Times New Roman" w:hAnsi="Times New Roman" w:cs="Times New Roman"/>
          <w:sz w:val="32"/>
          <w:szCs w:val="32"/>
          <w:lang w:val="en-US" w:eastAsia="zh-CN"/>
        </w:rPr>
        <w:t>。产生上述问题的原因主要有：</w:t>
      </w:r>
      <w:r>
        <w:rPr>
          <w:rFonts w:hint="eastAsia" w:ascii="Times New Roman" w:hAnsi="Times New Roman" w:eastAsia="楷体_GB2312" w:cs="Times New Roman"/>
          <w:b/>
          <w:bCs/>
          <w:sz w:val="32"/>
          <w:szCs w:val="32"/>
          <w:lang w:val="en-US" w:eastAsia="zh-CN"/>
        </w:rPr>
        <w:t>一是</w:t>
      </w:r>
      <w:r>
        <w:rPr>
          <w:rFonts w:hint="eastAsia" w:ascii="Times New Roman" w:hAnsi="Times New Roman" w:cs="Times New Roman"/>
          <w:sz w:val="32"/>
          <w:szCs w:val="32"/>
          <w:lang w:val="en-US" w:eastAsia="zh-CN"/>
        </w:rPr>
        <w:t>少数工作人员依法行政能力不够强，对新修订的法律法规学习掌握不及时、不全面、不准确。</w:t>
      </w:r>
      <w:r>
        <w:rPr>
          <w:rFonts w:hint="eastAsia" w:ascii="Times New Roman" w:hAnsi="Times New Roman" w:eastAsia="楷体_GB2312" w:cs="Times New Roman"/>
          <w:b/>
          <w:bCs/>
          <w:sz w:val="32"/>
          <w:szCs w:val="32"/>
          <w:lang w:val="en-US" w:eastAsia="zh-CN"/>
        </w:rPr>
        <w:t>二是</w:t>
      </w:r>
      <w:r>
        <w:rPr>
          <w:rFonts w:hint="eastAsia" w:ascii="Times New Roman" w:hAnsi="Times New Roman" w:cs="Times New Roman"/>
          <w:sz w:val="32"/>
          <w:szCs w:val="32"/>
          <w:lang w:val="en-US" w:eastAsia="zh-CN"/>
        </w:rPr>
        <w:t>部分人社部门执法内部监督机制不够完善，行政执法责任制有待压紧压实，政务服务经办流程需要进一步优化再造。</w:t>
      </w:r>
      <w:r>
        <w:rPr>
          <w:rFonts w:hint="eastAsia" w:ascii="Times New Roman" w:hAnsi="Times New Roman" w:eastAsia="楷体_GB2312" w:cs="Times New Roman"/>
          <w:b/>
          <w:bCs/>
          <w:sz w:val="32"/>
          <w:szCs w:val="32"/>
          <w:lang w:val="en-US" w:eastAsia="zh-CN"/>
        </w:rPr>
        <w:t>三是</w:t>
      </w:r>
      <w:r>
        <w:rPr>
          <w:rFonts w:hint="default" w:ascii="Times New Roman" w:hAnsi="Times New Roman" w:cs="Times New Roman"/>
          <w:sz w:val="32"/>
          <w:szCs w:val="32"/>
          <w:lang w:val="en-US" w:eastAsia="zh-CN"/>
        </w:rPr>
        <w:t>新经济、新业态快速发展，其用工方式更加灵活多样，劳动法律关系性质呈现多元化态势，对依法做好灵活用工服务管理提出了新的挑战。</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二、下一步工作安排</w:t>
      </w:r>
    </w:p>
    <w:p>
      <w:pPr>
        <w:widowControl w:val="0"/>
        <w:numPr>
          <w:ilvl w:val="0"/>
          <w:numId w:val="0"/>
        </w:numPr>
        <w:wordWrap/>
        <w:adjustRightInd/>
        <w:snapToGrid/>
        <w:spacing w:before="0" w:after="0" w:line="580" w:lineRule="exact"/>
        <w:ind w:left="0" w:leftChars="0" w:right="0" w:firstLine="640" w:firstLineChars="200"/>
        <w:jc w:val="both"/>
        <w:textAlignment w:val="auto"/>
        <w:outlineLvl w:val="9"/>
        <w:rPr>
          <w:rFonts w:hint="eastAsia"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我们将</w:t>
      </w:r>
      <w:r>
        <w:rPr>
          <w:rFonts w:hint="eastAsia" w:ascii="Times New Roman" w:hAnsi="Times New Roman" w:cs="Times New Roman"/>
          <w:sz w:val="32"/>
          <w:szCs w:val="32"/>
          <w:lang w:val="en-US" w:eastAsia="zh-CN"/>
        </w:rPr>
        <w:t>深学笃行</w:t>
      </w:r>
      <w:r>
        <w:rPr>
          <w:rFonts w:hint="default" w:ascii="Times New Roman" w:hAnsi="Times New Roman" w:cs="Times New Roman"/>
          <w:sz w:val="32"/>
          <w:szCs w:val="32"/>
          <w:lang w:val="en-US" w:eastAsia="zh-CN"/>
        </w:rPr>
        <w:t>习近平法治思想，从把握新发展阶段、贯彻新发展理念、构建新发展格局的实际出发，</w:t>
      </w:r>
      <w:r>
        <w:rPr>
          <w:rFonts w:hint="eastAsia" w:ascii="Times New Roman" w:hAnsi="Times New Roman" w:cs="Times New Roman"/>
          <w:sz w:val="32"/>
          <w:szCs w:val="32"/>
          <w:lang w:val="en-US" w:eastAsia="zh-CN"/>
        </w:rPr>
        <w:t>在推动人社事业高质量发展新征程中，</w:t>
      </w:r>
      <w:r>
        <w:rPr>
          <w:rFonts w:hint="default" w:ascii="Times New Roman" w:hAnsi="Times New Roman" w:cs="Times New Roman"/>
          <w:sz w:val="32"/>
          <w:szCs w:val="32"/>
          <w:lang w:val="en-US" w:eastAsia="zh-CN"/>
        </w:rPr>
        <w:t>筑法治之基、行法治之力、积法治之势</w:t>
      </w:r>
      <w:r>
        <w:rPr>
          <w:rFonts w:hint="eastAsia" w:ascii="Times New Roman" w:hAnsi="Times New Roman" w:cs="Times New Roman"/>
          <w:sz w:val="32"/>
          <w:szCs w:val="32"/>
          <w:lang w:val="en-US" w:eastAsia="zh-CN"/>
        </w:rPr>
        <w:t>。聚焦</w:t>
      </w:r>
      <w:r>
        <w:rPr>
          <w:rFonts w:hint="eastAsia" w:ascii="楷体_GB2312" w:hAnsi="楷体_GB2312" w:eastAsia="楷体_GB2312" w:cs="楷体_GB2312"/>
          <w:b/>
          <w:bCs/>
          <w:sz w:val="32"/>
          <w:szCs w:val="32"/>
          <w:lang w:val="en-US" w:eastAsia="zh-CN"/>
        </w:rPr>
        <w:t>六个方面</w:t>
      </w:r>
      <w:r>
        <w:rPr>
          <w:rFonts w:hint="eastAsia" w:ascii="Times New Roman" w:hAnsi="Times New Roman" w:cs="Times New Roman"/>
          <w:sz w:val="32"/>
          <w:szCs w:val="32"/>
          <w:lang w:val="en-US" w:eastAsia="zh-CN"/>
        </w:rPr>
        <w:t>求实效：</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一是在优化制度</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完善体系上求实效</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推动治理水平迈向新台阶</w:t>
      </w:r>
      <w:r>
        <w:rPr>
          <w:rFonts w:hint="default" w:ascii="楷体_GB2312" w:hAnsi="楷体_GB2312" w:eastAsia="楷体_GB2312" w:cs="楷体_GB2312"/>
          <w:b/>
          <w:bCs/>
          <w:sz w:val="32"/>
          <w:szCs w:val="32"/>
          <w:lang w:val="en-US" w:eastAsia="zh-CN"/>
        </w:rPr>
        <w:t>。</w:t>
      </w:r>
      <w:r>
        <w:rPr>
          <w:rFonts w:hint="default" w:ascii="Times New Roman" w:hAnsi="Times New Roman" w:eastAsia="仿宋_GB2312" w:cs="Times New Roman"/>
          <w:sz w:val="32"/>
          <w:szCs w:val="32"/>
          <w:lang w:val="en-US" w:eastAsia="zh-CN"/>
        </w:rPr>
        <w:t>推进省人力资源市场条例立法，为劳动力等资源要素市场化配置营造良好法治环境。</w:t>
      </w:r>
      <w:r>
        <w:rPr>
          <w:rFonts w:hint="eastAsia" w:ascii="Times New Roman" w:hAnsi="Times New Roman" w:cs="Times New Roman"/>
          <w:sz w:val="32"/>
          <w:szCs w:val="32"/>
          <w:lang w:val="en-US" w:eastAsia="zh-CN"/>
        </w:rPr>
        <w:t>进一步做好</w:t>
      </w:r>
      <w:r>
        <w:rPr>
          <w:rFonts w:hint="default" w:ascii="Times New Roman" w:hAnsi="Times New Roman" w:eastAsia="仿宋_GB2312" w:cs="Times New Roman"/>
          <w:sz w:val="32"/>
          <w:szCs w:val="32"/>
          <w:lang w:val="en-US" w:eastAsia="zh-CN"/>
        </w:rPr>
        <w:t>社会保险地方性法规修订工作，</w:t>
      </w:r>
      <w:r>
        <w:rPr>
          <w:rFonts w:hint="eastAsia" w:ascii="Times New Roman" w:hAnsi="Times New Roman" w:eastAsia="仿宋_GB2312" w:cs="Times New Roman"/>
          <w:sz w:val="32"/>
          <w:szCs w:val="32"/>
          <w:lang w:val="en-US" w:eastAsia="zh-CN"/>
        </w:rPr>
        <w:t>推动</w:t>
      </w:r>
      <w:r>
        <w:rPr>
          <w:rFonts w:hint="default" w:ascii="Times New Roman" w:hAnsi="Times New Roman" w:eastAsia="仿宋_GB2312" w:cs="Times New Roman"/>
          <w:sz w:val="32"/>
          <w:szCs w:val="32"/>
          <w:lang w:val="en-US" w:eastAsia="zh-CN"/>
        </w:rPr>
        <w:t>扩大</w:t>
      </w:r>
      <w:r>
        <w:rPr>
          <w:rFonts w:hint="eastAsia" w:ascii="Times New Roman" w:hAnsi="Times New Roman" w:cs="Times New Roman"/>
          <w:sz w:val="32"/>
          <w:szCs w:val="32"/>
          <w:lang w:val="en-US" w:eastAsia="zh-CN"/>
        </w:rPr>
        <w:t>社保</w:t>
      </w:r>
      <w:r>
        <w:rPr>
          <w:rFonts w:hint="default" w:ascii="Times New Roman" w:hAnsi="Times New Roman" w:eastAsia="仿宋_GB2312" w:cs="Times New Roman"/>
          <w:sz w:val="32"/>
          <w:szCs w:val="32"/>
          <w:lang w:val="en-US" w:eastAsia="zh-CN"/>
        </w:rPr>
        <w:t>制度覆盖面，提升</w:t>
      </w:r>
      <w:r>
        <w:rPr>
          <w:rFonts w:hint="eastAsia" w:ascii="Times New Roman" w:hAnsi="Times New Roman" w:cs="Times New Roman"/>
          <w:sz w:val="32"/>
          <w:szCs w:val="32"/>
          <w:lang w:val="en-US" w:eastAsia="zh-CN"/>
        </w:rPr>
        <w:t>社保</w:t>
      </w:r>
      <w:r>
        <w:rPr>
          <w:rFonts w:hint="default" w:ascii="Times New Roman" w:hAnsi="Times New Roman" w:eastAsia="仿宋_GB2312" w:cs="Times New Roman"/>
          <w:sz w:val="32"/>
          <w:szCs w:val="32"/>
          <w:lang w:val="en-US" w:eastAsia="zh-CN"/>
        </w:rPr>
        <w:t>待遇水平。支持深圳修订经济特区和谐劳动关系促进条例，探索灵活适用劳动用工管理</w:t>
      </w:r>
      <w:r>
        <w:rPr>
          <w:rFonts w:hint="eastAsia" w:ascii="Times New Roman" w:hAnsi="Times New Roman" w:cs="Times New Roman"/>
          <w:sz w:val="32"/>
          <w:szCs w:val="32"/>
          <w:lang w:val="en-US" w:eastAsia="zh-CN"/>
        </w:rPr>
        <w:t>制度</w:t>
      </w:r>
      <w:r>
        <w:rPr>
          <w:rFonts w:hint="default" w:ascii="Times New Roman" w:hAnsi="Times New Roman" w:eastAsia="仿宋_GB2312" w:cs="Times New Roman"/>
          <w:sz w:val="32"/>
          <w:szCs w:val="32"/>
          <w:lang w:val="en-US" w:eastAsia="zh-CN"/>
        </w:rPr>
        <w:t>。</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Times New Roman" w:hAnsi="Times New Roman" w:cs="Times New Roman"/>
          <w:sz w:val="32"/>
          <w:szCs w:val="32"/>
          <w:lang w:val="en-US" w:eastAsia="zh-CN"/>
        </w:rPr>
      </w:pPr>
      <w:r>
        <w:rPr>
          <w:rFonts w:hint="eastAsia" w:ascii="楷体_GB2312" w:hAnsi="楷体_GB2312" w:eastAsia="楷体_GB2312" w:cs="楷体_GB2312"/>
          <w:b/>
          <w:bCs/>
          <w:sz w:val="32"/>
          <w:szCs w:val="32"/>
          <w:lang w:val="en-US" w:eastAsia="zh-CN"/>
        </w:rPr>
        <w:t>二是在</w:t>
      </w:r>
      <w:r>
        <w:rPr>
          <w:rFonts w:hint="default" w:ascii="楷体_GB2312" w:hAnsi="楷体_GB2312" w:eastAsia="楷体_GB2312" w:cs="楷体_GB2312"/>
          <w:b/>
          <w:bCs/>
          <w:sz w:val="32"/>
          <w:szCs w:val="32"/>
          <w:lang w:val="en-US" w:eastAsia="zh-CN"/>
        </w:rPr>
        <w:t>放权赋能、</w:t>
      </w:r>
      <w:r>
        <w:rPr>
          <w:rFonts w:hint="eastAsia" w:ascii="楷体_GB2312" w:hAnsi="楷体_GB2312" w:eastAsia="楷体_GB2312" w:cs="楷体_GB2312"/>
          <w:b/>
          <w:bCs/>
          <w:sz w:val="32"/>
          <w:szCs w:val="32"/>
          <w:lang w:val="en-US" w:eastAsia="zh-CN"/>
        </w:rPr>
        <w:t>转变职能上求实效</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推动行风建设实现新突破。</w:t>
      </w:r>
      <w:r>
        <w:rPr>
          <w:rFonts w:hint="eastAsia" w:ascii="Times New Roman" w:hAnsi="Times New Roman" w:eastAsia="仿宋_GB2312" w:cs="Times New Roman"/>
          <w:sz w:val="32"/>
          <w:szCs w:val="32"/>
          <w:lang w:val="en-US" w:eastAsia="zh-CN"/>
        </w:rPr>
        <w:t>清理规范行政</w:t>
      </w:r>
      <w:r>
        <w:rPr>
          <w:rFonts w:hint="eastAsia" w:ascii="Times New Roman" w:hAnsi="Times New Roman" w:cs="Times New Roman"/>
          <w:sz w:val="32"/>
          <w:szCs w:val="32"/>
          <w:lang w:val="en-US" w:eastAsia="zh-CN"/>
        </w:rPr>
        <w:t>职权</w:t>
      </w:r>
      <w:r>
        <w:rPr>
          <w:rFonts w:hint="eastAsia"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依托简政放权</w:t>
      </w:r>
      <w:r>
        <w:rPr>
          <w:rFonts w:hint="eastAsia" w:ascii="Times New Roman" w:hAnsi="Times New Roman" w:eastAsia="仿宋_GB2312" w:cs="Times New Roman"/>
          <w:sz w:val="32"/>
          <w:szCs w:val="32"/>
          <w:lang w:val="en-US" w:eastAsia="zh-CN"/>
        </w:rPr>
        <w:t>支持广州、深圳、珠海</w:t>
      </w:r>
      <w:r>
        <w:rPr>
          <w:rFonts w:hint="eastAsia" w:ascii="Times New Roman" w:hAnsi="Times New Roman" w:cs="Times New Roman"/>
          <w:sz w:val="32"/>
          <w:szCs w:val="32"/>
          <w:lang w:val="en-US" w:eastAsia="zh-CN"/>
        </w:rPr>
        <w:t>等地区</w:t>
      </w:r>
      <w:r>
        <w:rPr>
          <w:rFonts w:hint="eastAsia" w:ascii="Times New Roman" w:hAnsi="Times New Roman" w:eastAsia="仿宋_GB2312" w:cs="Times New Roman"/>
          <w:sz w:val="32"/>
          <w:szCs w:val="32"/>
          <w:lang w:val="en-US" w:eastAsia="zh-CN"/>
        </w:rPr>
        <w:t>人社事业发展。优化信用监管、互联网+监管、随机抽查监管机制。</w:t>
      </w:r>
      <w:r>
        <w:rPr>
          <w:rFonts w:hint="eastAsia" w:ascii="Times New Roman" w:hAnsi="Times New Roman" w:cs="Times New Roman"/>
          <w:sz w:val="32"/>
          <w:szCs w:val="32"/>
          <w:lang w:val="en-US" w:eastAsia="zh-CN"/>
        </w:rPr>
        <w:t>总结提升服务快办行动等经验做法，以信息化为支撑实施</w:t>
      </w:r>
      <w:r>
        <w:rPr>
          <w:rFonts w:hint="eastAsia" w:ascii="Times New Roman" w:hAnsi="Times New Roman" w:eastAsia="仿宋_GB2312" w:cs="Times New Roman"/>
          <w:sz w:val="32"/>
          <w:szCs w:val="32"/>
          <w:lang w:val="en-US" w:eastAsia="zh-CN"/>
        </w:rPr>
        <w:t>“清减压”行动，</w:t>
      </w:r>
      <w:r>
        <w:rPr>
          <w:rFonts w:hint="eastAsia" w:ascii="Times New Roman" w:hAnsi="Times New Roman" w:cs="Times New Roman"/>
          <w:sz w:val="32"/>
          <w:szCs w:val="32"/>
          <w:lang w:val="en-US" w:eastAsia="zh-CN"/>
        </w:rPr>
        <w:t>推动服务事项跨省通办、跨市通办。</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三是在权责统一、守住底线上求实效，推动监督效能得到新提升。</w:t>
      </w:r>
      <w:r>
        <w:rPr>
          <w:rFonts w:hint="eastAsia" w:ascii="Times New Roman" w:hAnsi="Times New Roman" w:eastAsia="仿宋_GB2312" w:cs="Times New Roman"/>
          <w:sz w:val="32"/>
          <w:szCs w:val="32"/>
          <w:lang w:val="en-US" w:eastAsia="zh-CN"/>
        </w:rPr>
        <w:t>严格落实规范性文件</w:t>
      </w:r>
      <w:r>
        <w:rPr>
          <w:rFonts w:hint="eastAsia" w:ascii="Times New Roman" w:hAnsi="Times New Roman" w:cs="Times New Roman"/>
          <w:sz w:val="32"/>
          <w:szCs w:val="32"/>
          <w:lang w:val="en-US" w:eastAsia="zh-CN"/>
        </w:rPr>
        <w:t>合法性审查</w:t>
      </w:r>
      <w:r>
        <w:rPr>
          <w:rFonts w:hint="eastAsia" w:ascii="Times New Roman" w:hAnsi="Times New Roman" w:eastAsia="仿宋_GB2312" w:cs="Times New Roman"/>
          <w:sz w:val="32"/>
          <w:szCs w:val="32"/>
          <w:lang w:val="en-US" w:eastAsia="zh-CN"/>
        </w:rPr>
        <w:t>制度，开展规范性文件</w:t>
      </w:r>
      <w:r>
        <w:rPr>
          <w:rFonts w:hint="eastAsia" w:ascii="Times New Roman" w:hAnsi="Times New Roman" w:cs="Times New Roman"/>
          <w:sz w:val="32"/>
          <w:szCs w:val="32"/>
          <w:lang w:val="en-US" w:eastAsia="zh-CN"/>
        </w:rPr>
        <w:t>常态化</w:t>
      </w:r>
      <w:r>
        <w:rPr>
          <w:rFonts w:hint="eastAsia" w:ascii="Times New Roman" w:hAnsi="Times New Roman" w:eastAsia="仿宋_GB2312" w:cs="Times New Roman"/>
          <w:sz w:val="32"/>
          <w:szCs w:val="32"/>
          <w:lang w:val="en-US" w:eastAsia="zh-CN"/>
        </w:rPr>
        <w:t>清理。</w:t>
      </w:r>
      <w:r>
        <w:rPr>
          <w:rFonts w:hint="eastAsia" w:ascii="Times New Roman" w:hAnsi="Times New Roman" w:cs="Times New Roman"/>
          <w:sz w:val="32"/>
          <w:szCs w:val="32"/>
          <w:lang w:val="en-US" w:eastAsia="zh-CN"/>
        </w:rPr>
        <w:t>优化重大</w:t>
      </w:r>
      <w:r>
        <w:rPr>
          <w:rFonts w:hint="eastAsia" w:ascii="Times New Roman" w:hAnsi="Times New Roman" w:eastAsia="仿宋_GB2312" w:cs="Times New Roman"/>
          <w:sz w:val="32"/>
          <w:szCs w:val="32"/>
          <w:lang w:val="en-US" w:eastAsia="zh-CN"/>
        </w:rPr>
        <w:t>决策公开听证、风险评估、实施评估、专家咨询等制度。</w:t>
      </w:r>
      <w:r>
        <w:rPr>
          <w:rFonts w:hint="eastAsia" w:ascii="Times New Roman" w:hAnsi="Times New Roman" w:cs="Times New Roman"/>
          <w:sz w:val="32"/>
          <w:szCs w:val="32"/>
          <w:lang w:val="en-US" w:eastAsia="zh-CN"/>
        </w:rPr>
        <w:t>加强</w:t>
      </w:r>
      <w:r>
        <w:rPr>
          <w:rFonts w:hint="eastAsia" w:ascii="Times New Roman" w:hAnsi="Times New Roman" w:eastAsia="仿宋_GB2312" w:cs="Times New Roman"/>
          <w:sz w:val="32"/>
          <w:szCs w:val="32"/>
          <w:lang w:val="en-US" w:eastAsia="zh-CN"/>
        </w:rPr>
        <w:t>执法案卷评查。</w:t>
      </w:r>
      <w:r>
        <w:rPr>
          <w:rFonts w:hint="eastAsia" w:ascii="Times New Roman" w:hAnsi="Times New Roman" w:cs="Times New Roman"/>
          <w:sz w:val="32"/>
          <w:szCs w:val="32"/>
          <w:lang w:val="en-US" w:eastAsia="zh-CN"/>
        </w:rPr>
        <w:t>深入推进</w:t>
      </w:r>
      <w:r>
        <w:rPr>
          <w:rFonts w:hint="eastAsia" w:ascii="Times New Roman" w:hAnsi="Times New Roman" w:eastAsia="仿宋_GB2312" w:cs="Times New Roman"/>
          <w:sz w:val="32"/>
          <w:szCs w:val="32"/>
          <w:lang w:val="en-US" w:eastAsia="zh-CN"/>
        </w:rPr>
        <w:t>社保基金监督，自觉接受人大政协</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审计</w:t>
      </w:r>
      <w:r>
        <w:rPr>
          <w:rFonts w:hint="eastAsia" w:ascii="Times New Roman" w:hAnsi="Times New Roman" w:cs="Times New Roman"/>
          <w:sz w:val="32"/>
          <w:szCs w:val="32"/>
          <w:lang w:val="en-US" w:eastAsia="zh-CN"/>
        </w:rPr>
        <w:t>、社会监督</w:t>
      </w:r>
      <w:r>
        <w:rPr>
          <w:rFonts w:hint="eastAsia" w:ascii="Times New Roman" w:hAnsi="Times New Roman" w:eastAsia="仿宋_GB2312" w:cs="Times New Roman"/>
          <w:sz w:val="32"/>
          <w:szCs w:val="32"/>
          <w:lang w:val="en-US" w:eastAsia="zh-CN"/>
        </w:rPr>
        <w:t>。</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四是在严格执法、科学监管上求实效，推动欠薪治理取得新进展。</w:t>
      </w:r>
      <w:r>
        <w:rPr>
          <w:rFonts w:hint="eastAsia" w:ascii="Times New Roman" w:hAnsi="Times New Roman" w:eastAsia="仿宋_GB2312" w:cs="Times New Roman"/>
          <w:sz w:val="32"/>
          <w:szCs w:val="32"/>
          <w:lang w:val="en-US" w:eastAsia="zh-CN"/>
        </w:rPr>
        <w:t>完善《保障农民工工资支付条例》</w:t>
      </w:r>
      <w:r>
        <w:rPr>
          <w:rFonts w:hint="eastAsia" w:ascii="Times New Roman" w:hAnsi="Times New Roman" w:cs="Times New Roman"/>
          <w:sz w:val="32"/>
          <w:szCs w:val="32"/>
          <w:lang w:val="en-US" w:eastAsia="zh-CN"/>
        </w:rPr>
        <w:t>配套机制</w:t>
      </w:r>
      <w:r>
        <w:rPr>
          <w:rFonts w:hint="eastAsia" w:ascii="Times New Roman" w:hAnsi="Times New Roman" w:eastAsia="仿宋_GB2312" w:cs="Times New Roman"/>
          <w:sz w:val="32"/>
          <w:szCs w:val="32"/>
          <w:lang w:val="en-US" w:eastAsia="zh-CN"/>
        </w:rPr>
        <w:t>，推动欠薪预防保障制度100%落地实施。落实行政执法法制审核、全过程记录、公开公示三项制度</w:t>
      </w:r>
      <w:r>
        <w:rPr>
          <w:rFonts w:hint="eastAsia" w:ascii="Times New Roman" w:hAnsi="Times New Roman" w:cs="Times New Roman"/>
          <w:sz w:val="32"/>
          <w:szCs w:val="32"/>
          <w:lang w:val="en-US" w:eastAsia="zh-CN"/>
        </w:rPr>
        <w:t>。</w:t>
      </w:r>
      <w:r>
        <w:rPr>
          <w:rFonts w:hint="eastAsia" w:ascii="Times New Roman" w:hAnsi="Times New Roman" w:eastAsia="仿宋_GB2312" w:cs="Times New Roman"/>
          <w:sz w:val="32"/>
          <w:szCs w:val="32"/>
          <w:lang w:val="en-US" w:eastAsia="zh-CN"/>
        </w:rPr>
        <w:t>集中开展根治欠薪冬季专项行动，确保实现“两个清零”。完善拖欠农民工工资“黑名单”管理机制。</w:t>
      </w:r>
    </w:p>
    <w:p>
      <w:pPr>
        <w:widowControl w:val="0"/>
        <w:numPr>
          <w:ilvl w:val="0"/>
          <w:numId w:val="0"/>
        </w:numPr>
        <w:wordWrap/>
        <w:adjustRightInd/>
        <w:snapToGrid/>
        <w:spacing w:before="0" w:after="0" w:line="580" w:lineRule="exact"/>
        <w:ind w:left="0" w:leftChars="0" w:right="0" w:firstLine="643" w:firstLineChars="200"/>
        <w:jc w:val="both"/>
        <w:textAlignment w:val="auto"/>
        <w:outlineLvl w:val="9"/>
        <w:rPr>
          <w:rFonts w:hint="eastAsia" w:ascii="Times New Roman" w:hAnsi="Times New Roman" w:eastAsia="仿宋_GB2312" w:cs="Times New Roman"/>
          <w:spacing w:val="-5"/>
          <w:sz w:val="32"/>
          <w:szCs w:val="32"/>
          <w:lang w:val="en-US" w:eastAsia="zh-CN"/>
        </w:rPr>
      </w:pPr>
      <w:r>
        <w:rPr>
          <w:rFonts w:hint="eastAsia" w:ascii="楷体_GB2312" w:hAnsi="楷体_GB2312" w:eastAsia="楷体_GB2312" w:cs="楷体_GB2312"/>
          <w:b/>
          <w:bCs/>
          <w:sz w:val="32"/>
          <w:szCs w:val="32"/>
          <w:lang w:val="en-US" w:eastAsia="zh-CN"/>
        </w:rPr>
        <w:t>五是在预防为主</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综合施策上求实效，推动纠纷压减展现新亮点</w:t>
      </w:r>
      <w:r>
        <w:rPr>
          <w:rFonts w:hint="default" w:ascii="楷体_GB2312" w:hAnsi="楷体_GB2312" w:eastAsia="楷体_GB2312" w:cs="楷体_GB2312"/>
          <w:b/>
          <w:bCs/>
          <w:sz w:val="32"/>
          <w:szCs w:val="32"/>
          <w:lang w:val="en-US" w:eastAsia="zh-CN"/>
        </w:rPr>
        <w:t>。</w:t>
      </w:r>
      <w:r>
        <w:rPr>
          <w:rFonts w:hint="eastAsia" w:ascii="仿宋_GB2312" w:hAnsi="仿宋_GB2312" w:eastAsia="仿宋_GB2312" w:cs="仿宋_GB2312"/>
          <w:b w:val="0"/>
          <w:bCs w:val="0"/>
          <w:sz w:val="32"/>
          <w:szCs w:val="32"/>
          <w:lang w:val="en-US" w:eastAsia="zh-CN"/>
        </w:rPr>
        <w:t>全面梳理争议风险点，</w:t>
      </w:r>
      <w:r>
        <w:rPr>
          <w:rFonts w:hint="eastAsia" w:ascii="Times New Roman" w:hAnsi="Times New Roman" w:eastAsia="仿宋_GB2312" w:cs="Times New Roman"/>
          <w:sz w:val="32"/>
          <w:szCs w:val="32"/>
          <w:lang w:val="en-US" w:eastAsia="zh-CN"/>
        </w:rPr>
        <w:t>打好行政</w:t>
      </w:r>
      <w:r>
        <w:rPr>
          <w:rFonts w:hint="eastAsia" w:ascii="Times New Roman" w:hAnsi="Times New Roman" w:cs="Times New Roman"/>
          <w:sz w:val="32"/>
          <w:szCs w:val="32"/>
          <w:lang w:val="en-US" w:eastAsia="zh-CN"/>
        </w:rPr>
        <w:t>争议</w:t>
      </w:r>
      <w:r>
        <w:rPr>
          <w:rFonts w:hint="eastAsia" w:ascii="Times New Roman" w:hAnsi="Times New Roman" w:eastAsia="仿宋_GB2312" w:cs="Times New Roman"/>
          <w:sz w:val="32"/>
          <w:szCs w:val="32"/>
          <w:lang w:val="en-US" w:eastAsia="zh-CN"/>
        </w:rPr>
        <w:t>压减“控”</w:t>
      </w:r>
      <w:r>
        <w:rPr>
          <w:rFonts w:hint="eastAsia" w:ascii="Times New Roman" w:hAnsi="Times New Roman" w:eastAsia="仿宋_GB2312" w:cs="Times New Roman"/>
          <w:spacing w:val="-5"/>
          <w:sz w:val="32"/>
          <w:szCs w:val="32"/>
          <w:lang w:val="en-US" w:eastAsia="zh-CN"/>
        </w:rPr>
        <w:t>“调”“导”“释”组合拳，在优化经办流程、实施窗口调解“首问负责制”、引导纠纷分流等方面</w:t>
      </w:r>
      <w:r>
        <w:rPr>
          <w:rFonts w:hint="eastAsia" w:ascii="Times New Roman" w:hAnsi="Times New Roman" w:cs="Times New Roman"/>
          <w:spacing w:val="-5"/>
          <w:sz w:val="32"/>
          <w:szCs w:val="32"/>
          <w:lang w:val="en-US" w:eastAsia="zh-CN"/>
        </w:rPr>
        <w:t>下功夫</w:t>
      </w:r>
      <w:r>
        <w:rPr>
          <w:rFonts w:hint="eastAsia" w:ascii="Times New Roman" w:hAnsi="Times New Roman" w:eastAsia="仿宋_GB2312" w:cs="Times New Roman"/>
          <w:spacing w:val="-5"/>
          <w:sz w:val="32"/>
          <w:szCs w:val="32"/>
          <w:lang w:val="en-US" w:eastAsia="zh-CN"/>
        </w:rPr>
        <w:t>。推动</w:t>
      </w:r>
      <w:r>
        <w:rPr>
          <w:rFonts w:hint="eastAsia" w:ascii="Times New Roman" w:hAnsi="Times New Roman" w:cs="Times New Roman"/>
          <w:spacing w:val="-5"/>
          <w:sz w:val="32"/>
          <w:szCs w:val="32"/>
          <w:lang w:val="en-US" w:eastAsia="zh-CN"/>
        </w:rPr>
        <w:t>仲裁</w:t>
      </w:r>
      <w:r>
        <w:rPr>
          <w:rFonts w:hint="eastAsia" w:ascii="Times New Roman" w:hAnsi="Times New Roman" w:eastAsia="仿宋_GB2312" w:cs="Times New Roman"/>
          <w:spacing w:val="-5"/>
          <w:sz w:val="32"/>
          <w:szCs w:val="32"/>
          <w:lang w:val="en-US" w:eastAsia="zh-CN"/>
        </w:rPr>
        <w:t>办案方式改革，加强粤港澳大湾区劳动争议处理机制衔接</w:t>
      </w:r>
      <w:r>
        <w:rPr>
          <w:rFonts w:hint="eastAsia" w:ascii="Times New Roman" w:hAnsi="Times New Roman" w:cs="Times New Roman"/>
          <w:spacing w:val="-5"/>
          <w:sz w:val="32"/>
          <w:szCs w:val="32"/>
          <w:lang w:val="en-US" w:eastAsia="zh-CN"/>
        </w:rPr>
        <w:t>。</w:t>
      </w:r>
      <w:r>
        <w:rPr>
          <w:rFonts w:hint="eastAsia" w:ascii="Times New Roman" w:hAnsi="Times New Roman" w:eastAsia="仿宋_GB2312" w:cs="Times New Roman"/>
          <w:spacing w:val="-5"/>
          <w:sz w:val="32"/>
          <w:szCs w:val="32"/>
          <w:lang w:val="en-US" w:eastAsia="zh-CN"/>
        </w:rPr>
        <w:t>推进信访依法分类处理。</w:t>
      </w:r>
    </w:p>
    <w:p>
      <w:pPr>
        <w:pStyle w:val="5"/>
        <w:widowControl w:val="0"/>
        <w:wordWrap/>
        <w:adjustRightInd/>
        <w:snapToGrid/>
        <w:spacing w:before="0" w:after="0" w:line="580" w:lineRule="exact"/>
        <w:ind w:left="0" w:leftChars="0" w:right="0" w:firstLine="643" w:firstLineChars="200"/>
        <w:jc w:val="both"/>
        <w:textAlignment w:val="auto"/>
        <w:outlineLvl w:val="9"/>
        <w:rPr>
          <w:rFonts w:hint="eastAsia" w:ascii="Times New Roman" w:hAnsi="Times New Roman" w:eastAsia="仿宋_GB2312" w:cs="Times New Roman"/>
          <w:lang w:val="en-US" w:eastAsia="zh-CN"/>
        </w:rPr>
        <w:sectPr>
          <w:headerReference r:id="rId4" w:type="first"/>
          <w:footerReference r:id="rId7" w:type="first"/>
          <w:footerReference r:id="rId5" w:type="default"/>
          <w:headerReference r:id="rId3" w:type="even"/>
          <w:footerReference r:id="rId6" w:type="even"/>
          <w:pgSz w:w="11906" w:h="16838"/>
          <w:pgMar w:top="2098" w:right="1474" w:bottom="1701" w:left="1588" w:header="851" w:footer="992" w:gutter="0"/>
          <w:pgNumType w:start="1"/>
          <w:cols w:space="720" w:num="1"/>
          <w:docGrid w:type="lines" w:linePitch="312" w:charSpace="-842"/>
        </w:sectPr>
      </w:pPr>
      <w:r>
        <w:rPr>
          <w:rFonts w:hint="eastAsia" w:ascii="楷体_GB2312" w:hAnsi="楷体_GB2312" w:eastAsia="楷体_GB2312" w:cs="楷体_GB2312"/>
          <w:b/>
          <w:bCs/>
          <w:sz w:val="32"/>
          <w:szCs w:val="32"/>
          <w:lang w:val="en-US" w:eastAsia="zh-CN"/>
        </w:rPr>
        <w:t>六是在法德并举、守正创新上求实效，推动人社普法激发新动能。</w:t>
      </w:r>
      <w:r>
        <w:rPr>
          <w:rFonts w:hint="eastAsia" w:ascii="Times New Roman" w:hAnsi="Times New Roman" w:eastAsia="仿宋_GB2312" w:cs="Times New Roman"/>
          <w:spacing w:val="-5"/>
          <w:sz w:val="32"/>
          <w:szCs w:val="32"/>
          <w:lang w:val="en-US" w:eastAsia="zh-CN"/>
        </w:rPr>
        <w:t>提</w:t>
      </w:r>
      <w:r>
        <w:rPr>
          <w:rFonts w:hint="eastAsia" w:ascii="Times New Roman" w:hAnsi="Times New Roman" w:cs="Times New Roman"/>
          <w:spacing w:val="-5"/>
          <w:sz w:val="32"/>
          <w:szCs w:val="32"/>
          <w:lang w:val="en-US" w:eastAsia="zh-CN"/>
        </w:rPr>
        <w:t>升人社系统干部职工法治素养，引导各级领导干部尊崇法治、敬畏法律，了解法律、掌握法律</w:t>
      </w:r>
      <w:r>
        <w:rPr>
          <w:rFonts w:hint="eastAsia" w:ascii="Times New Roman" w:hAnsi="Times New Roman" w:eastAsia="仿宋_GB2312" w:cs="Times New Roman"/>
          <w:spacing w:val="-5"/>
          <w:sz w:val="32"/>
          <w:szCs w:val="32"/>
          <w:lang w:val="en-US" w:eastAsia="zh-CN"/>
        </w:rPr>
        <w:t>。坚持以社会主义核心价值观为统领，</w:t>
      </w:r>
      <w:r>
        <w:rPr>
          <w:rFonts w:hint="eastAsia" w:ascii="Times New Roman" w:hAnsi="Times New Roman" w:cs="Times New Roman"/>
          <w:spacing w:val="-5"/>
          <w:sz w:val="32"/>
          <w:szCs w:val="32"/>
          <w:lang w:val="en-US" w:eastAsia="zh-CN"/>
        </w:rPr>
        <w:t>推动主流和新型媒体协同发力，</w:t>
      </w:r>
      <w:r>
        <w:rPr>
          <w:rFonts w:hint="eastAsia" w:ascii="Times New Roman" w:hAnsi="Times New Roman" w:eastAsia="仿宋_GB2312" w:cs="Times New Roman"/>
          <w:spacing w:val="-5"/>
          <w:sz w:val="32"/>
          <w:szCs w:val="32"/>
          <w:lang w:val="en-US" w:eastAsia="zh-CN"/>
        </w:rPr>
        <w:t>扩大受众面，提升吸引力。规范购买服务、项目建设等程序，</w:t>
      </w:r>
      <w:r>
        <w:rPr>
          <w:rFonts w:hint="eastAsia" w:ascii="Times New Roman" w:hAnsi="Times New Roman" w:cs="Times New Roman"/>
          <w:spacing w:val="-5"/>
          <w:sz w:val="32"/>
          <w:szCs w:val="32"/>
          <w:lang w:val="en-US" w:eastAsia="zh-CN"/>
        </w:rPr>
        <w:t>扩大</w:t>
      </w:r>
      <w:r>
        <w:rPr>
          <w:rFonts w:hint="eastAsia" w:ascii="Times New Roman" w:hAnsi="Times New Roman" w:eastAsia="仿宋_GB2312" w:cs="Times New Roman"/>
          <w:spacing w:val="-5"/>
          <w:sz w:val="32"/>
          <w:szCs w:val="32"/>
          <w:lang w:val="en-US" w:eastAsia="zh-CN"/>
        </w:rPr>
        <w:t>法律顾问</w:t>
      </w:r>
      <w:r>
        <w:rPr>
          <w:rFonts w:hint="eastAsia" w:ascii="Times New Roman" w:hAnsi="Times New Roman" w:cs="Times New Roman"/>
          <w:spacing w:val="-5"/>
          <w:sz w:val="32"/>
          <w:szCs w:val="32"/>
          <w:lang w:val="en-US" w:eastAsia="zh-CN"/>
        </w:rPr>
        <w:t>在政务</w:t>
      </w:r>
      <w:r>
        <w:rPr>
          <w:rFonts w:hint="eastAsia" w:ascii="Times New Roman" w:hAnsi="Times New Roman" w:eastAsia="仿宋_GB2312" w:cs="Times New Roman"/>
          <w:spacing w:val="-5"/>
          <w:sz w:val="32"/>
          <w:szCs w:val="32"/>
          <w:lang w:val="en-US" w:eastAsia="zh-CN"/>
        </w:rPr>
        <w:t>诚信建设</w:t>
      </w:r>
      <w:r>
        <w:rPr>
          <w:rFonts w:hint="eastAsia" w:ascii="Times New Roman" w:hAnsi="Times New Roman" w:cs="Times New Roman"/>
          <w:spacing w:val="-5"/>
          <w:sz w:val="32"/>
          <w:szCs w:val="32"/>
          <w:lang w:val="en-US" w:eastAsia="zh-CN"/>
        </w:rPr>
        <w:t>参与度</w:t>
      </w:r>
      <w:r>
        <w:rPr>
          <w:rFonts w:hint="eastAsia" w:cs="Times New Roman"/>
          <w:spacing w:val="-5"/>
          <w:sz w:val="32"/>
          <w:szCs w:val="32"/>
          <w:lang w:val="en-US" w:eastAsia="zh-CN"/>
        </w:rPr>
        <w:t>。</w:t>
      </w:r>
      <w:permStart w:id="0" w:edGrp="everyone"/>
      <w:permEnd w:id="0"/>
    </w:p>
    <w:p>
      <w:pPr>
        <w:pBdr>
          <w:top w:val="single" w:color="auto" w:sz="8" w:space="1"/>
          <w:bottom w:val="single" w:color="auto" w:sz="8" w:space="1"/>
        </w:pBdr>
        <w:rPr>
          <w:rFonts w:hint="eastAsia" w:ascii="Times New Roman" w:hAnsi="Times New Roman" w:eastAsia="仿宋_GB2312" w:cs="Times New Roman"/>
          <w:lang w:val="en-US" w:eastAsia="zh-CN"/>
        </w:rPr>
      </w:pPr>
    </w:p>
    <w:sectPr>
      <w:headerReference r:id="rId8" w:type="default"/>
      <w:footerReference r:id="rId9" w:type="default"/>
      <w:pgSz w:w="11906" w:h="16838"/>
      <w:pgMar w:top="1701" w:right="1474" w:bottom="1474" w:left="1587" w:header="851" w:footer="992"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仿宋_GB2312" w:cs="Times New Roman"/>
        <w:kern w:val="2"/>
        <w:sz w:val="18"/>
        <w:szCs w:val="32"/>
        <w:lang w:val="en-US" w:eastAsia="zh-CN" w:bidi="ar-SA"/>
      </w:rPr>
      <w:pict>
        <v:rect id="文本框 4"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sz w:val="28"/>
                    <w:szCs w:val="28"/>
                  </w:rPr>
                  <w:t xml:space="preserve"> —</w:t>
                </w:r>
              </w:p>
            </w:txbxContent>
          </v:textbox>
        </v:rect>
      </w:pict>
    </w:r>
    <w:r>
      <w:rPr>
        <w:rFonts w:ascii="Times New Roman" w:hAnsi="Times New Roman" w:eastAsia="仿宋_GB2312" w:cs="Times New Roman"/>
        <w:kern w:val="2"/>
        <w:sz w:val="18"/>
        <w:szCs w:val="32"/>
        <w:lang w:val="en-US" w:eastAsia="zh-CN" w:bidi="ar-SA"/>
      </w:rPr>
      <w:pict>
        <v:rect id="文本框 59"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仿宋_GB2312" w:cs="Times New Roman"/>
        <w:kern w:val="2"/>
        <w:sz w:val="18"/>
        <w:szCs w:val="32"/>
        <w:lang w:val="en-US" w:eastAsia="zh-CN" w:bidi="ar-SA"/>
      </w:rPr>
      <w:pict>
        <v:rect id="文本框 69"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4441"/>
    <w:multiLevelType w:val="singleLevel"/>
    <w:tmpl w:val="6C3344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dit="readOnly" w:enforcement="1" w:cryptProviderType="rsaFull" w:cryptAlgorithmClass="hash" w:cryptAlgorithmType="typeAny" w:cryptAlgorithmSid="4" w:cryptSpinCount="0" w:hash="1MhBgpTbmrKRBhAWCqu56q/7hb8=" w:salt="3DatzfG6HHYn5qw76ILnRQ=="/>
  <w:defaultTabStop w:val="423"/>
  <w:drawingGridHorizontalSpacing w:val="158"/>
  <w:drawingGridVerticalSpacing w:val="22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CF5CD0"/>
    <w:rsid w:val="16CE471B"/>
    <w:rsid w:val="16D03CD8"/>
    <w:rsid w:val="1A844447"/>
    <w:rsid w:val="443C36DC"/>
    <w:rsid w:val="4A944BE6"/>
    <w:rsid w:val="4D217BC0"/>
    <w:rsid w:val="61A44848"/>
    <w:rsid w:val="694D141D"/>
    <w:rsid w:val="7EEB20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14">
    <w:name w:val="Default Paragraph Font"/>
    <w:link w:val="15"/>
    <w:semiHidden/>
    <w:unhideWhenUsed/>
    <w:qFormat/>
    <w:uiPriority w:val="1"/>
    <w:rPr>
      <w:szCs w:val="24"/>
    </w:rPr>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Salutation"/>
    <w:basedOn w:val="1"/>
    <w:next w:val="1"/>
    <w:qFormat/>
    <w:uiPriority w:val="0"/>
  </w:style>
  <w:style w:type="paragraph" w:styleId="5">
    <w:name w:val="Body Text"/>
    <w:basedOn w:val="1"/>
    <w:next w:val="6"/>
    <w:qFormat/>
    <w:uiPriority w:val="0"/>
  </w:style>
  <w:style w:type="paragraph" w:styleId="6">
    <w:name w:val="footer"/>
    <w:basedOn w:val="1"/>
    <w:link w:val="49"/>
    <w:qFormat/>
    <w:uiPriority w:val="99"/>
    <w:pPr>
      <w:tabs>
        <w:tab w:val="center" w:pos="4153"/>
        <w:tab w:val="right" w:pos="8306"/>
      </w:tabs>
      <w:snapToGrid w:val="0"/>
      <w:jc w:val="left"/>
    </w:pPr>
    <w:rPr>
      <w:sz w:val="18"/>
    </w:rPr>
  </w:style>
  <w:style w:type="paragraph" w:styleId="7">
    <w:name w:val="Body Text Indent"/>
    <w:basedOn w:val="1"/>
    <w:qFormat/>
    <w:uiPriority w:val="0"/>
    <w:pPr>
      <w:ind w:firstLine="630"/>
    </w:pPr>
    <w:rPr>
      <w:rFonts w:ascii="仿宋_GB2312"/>
    </w:rPr>
  </w:style>
  <w:style w:type="paragraph" w:styleId="8">
    <w:name w:val="Plain Text"/>
    <w:basedOn w:val="1"/>
    <w:qFormat/>
    <w:uiPriority w:val="0"/>
    <w:rPr>
      <w:rFonts w:ascii="宋体" w:hAnsi="Courier New"/>
    </w:rPr>
  </w:style>
  <w:style w:type="paragraph" w:styleId="9">
    <w:name w:val="Date"/>
    <w:basedOn w:val="1"/>
    <w:next w:val="1"/>
    <w:qFormat/>
    <w:uiPriority w:val="0"/>
  </w:style>
  <w:style w:type="paragraph" w:styleId="10">
    <w:name w:val="Body Text Indent 2"/>
    <w:basedOn w:val="1"/>
    <w:qFormat/>
    <w:uiPriority w:val="0"/>
    <w:pPr>
      <w:spacing w:after="120" w:line="480" w:lineRule="auto"/>
      <w:ind w:left="420" w:leftChars="200"/>
    </w:pPr>
  </w:style>
  <w:style w:type="paragraph" w:styleId="11">
    <w:name w:val="Balloon Text"/>
    <w:basedOn w:val="1"/>
    <w:qFormat/>
    <w:uiPriority w:val="0"/>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hint="eastAsia" w:ascii="宋体" w:hAnsi="宋体" w:eastAsia="宋体" w:cs="宋体"/>
      <w:kern w:val="0"/>
      <w:sz w:val="24"/>
      <w:szCs w:val="24"/>
    </w:rPr>
  </w:style>
  <w:style w:type="paragraph" w:customStyle="1" w:styleId="15">
    <w:name w:val="Char Char Char"/>
    <w:basedOn w:val="1"/>
    <w:link w:val="14"/>
    <w:qFormat/>
    <w:uiPriority w:val="0"/>
    <w:rPr>
      <w:szCs w:val="24"/>
    </w:rPr>
  </w:style>
  <w:style w:type="character" w:styleId="16">
    <w:name w:val="page number"/>
    <w:basedOn w:val="14"/>
    <w:qFormat/>
    <w:uiPriority w:val="0"/>
  </w:style>
  <w:style w:type="paragraph" w:customStyle="1" w:styleId="18">
    <w:name w:val="Char Char Char Char Char Char Char Char Char Char"/>
    <w:basedOn w:val="19"/>
    <w:qFormat/>
    <w:uiPriority w:val="0"/>
    <w:pPr>
      <w:adjustRightInd w:val="0"/>
      <w:spacing w:line="360" w:lineRule="auto"/>
    </w:pPr>
  </w:style>
  <w:style w:type="paragraph" w:customStyle="1" w:styleId="19">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20">
    <w:name w:val="Char2"/>
    <w:basedOn w:val="1"/>
    <w:qFormat/>
    <w:uiPriority w:val="0"/>
  </w:style>
  <w:style w:type="paragraph" w:customStyle="1" w:styleId="21">
    <w:name w:val="UserStyle_5"/>
    <w:basedOn w:val="22"/>
    <w:link w:val="48"/>
    <w:qFormat/>
    <w:uiPriority w:val="0"/>
    <w:pPr>
      <w:spacing w:after="160" w:line="240" w:lineRule="exact"/>
      <w:jc w:val="left"/>
    </w:pPr>
  </w:style>
  <w:style w:type="paragraph" w:customStyle="1" w:styleId="22">
    <w:name w:val="UserStyle_4"/>
    <w:qFormat/>
    <w:uiPriority w:val="0"/>
    <w:pPr>
      <w:jc w:val="both"/>
      <w:textAlignment w:val="baseline"/>
    </w:pPr>
    <w:rPr>
      <w:rFonts w:ascii="Times New Roman" w:hAnsi="Times New Roman" w:eastAsia="仿宋_GB2312" w:cs="Times New Roman"/>
      <w:kern w:val="2"/>
      <w:sz w:val="32"/>
      <w:szCs w:val="24"/>
      <w:lang w:val="en-US" w:eastAsia="zh-CN" w:bidi="ar-SA"/>
    </w:rPr>
  </w:style>
  <w:style w:type="paragraph" w:customStyle="1" w:styleId="23">
    <w:name w:val="Char Char Char Char Char Char Char Char Char Char Char Char Char Char Char Char Char Char Char"/>
    <w:basedOn w:val="1"/>
    <w:qFormat/>
    <w:uiPriority w:val="0"/>
    <w:rPr>
      <w:rFonts w:ascii="Tahoma" w:hAnsi="Tahoma"/>
      <w:sz w:val="24"/>
    </w:rPr>
  </w:style>
  <w:style w:type="paragraph" w:customStyle="1" w:styleId="24">
    <w:name w:val="p0"/>
    <w:basedOn w:val="1"/>
    <w:qFormat/>
    <w:uiPriority w:val="0"/>
    <w:pPr>
      <w:widowControl/>
    </w:pPr>
    <w:rPr>
      <w:kern w:val="0"/>
      <w:szCs w:val="21"/>
    </w:rPr>
  </w:style>
  <w:style w:type="paragraph" w:customStyle="1" w:styleId="25">
    <w:name w:val="正文 New New"/>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customStyle="1" w:styleId="26">
    <w:name w:val="zw"/>
    <w:basedOn w:val="1"/>
    <w:qFormat/>
    <w:uiPriority w:val="0"/>
    <w:pPr>
      <w:spacing w:line="580" w:lineRule="exact"/>
      <w:ind w:firstLine="707" w:firstLineChars="221"/>
    </w:pPr>
    <w:rPr>
      <w:rFonts w:ascii="仿宋" w:hAnsi="仿宋" w:eastAsia="仿宋"/>
    </w:rPr>
  </w:style>
  <w:style w:type="paragraph" w:customStyle="1" w:styleId="27">
    <w:name w:val="Char1 Char Char Char"/>
    <w:basedOn w:val="1"/>
    <w:qFormat/>
    <w:uiPriority w:val="0"/>
  </w:style>
  <w:style w:type="paragraph" w:customStyle="1" w:styleId="28">
    <w:name w:val="Char Char1 Char"/>
    <w:basedOn w:val="1"/>
    <w:qFormat/>
    <w:uiPriority w:val="0"/>
  </w:style>
  <w:style w:type="paragraph" w:customStyle="1" w:styleId="29">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30">
    <w:name w:val="p16"/>
    <w:basedOn w:val="1"/>
    <w:qFormat/>
    <w:uiPriority w:val="0"/>
    <w:pPr>
      <w:widowControl/>
    </w:pPr>
    <w:rPr>
      <w:kern w:val="0"/>
    </w:rPr>
  </w:style>
  <w:style w:type="paragraph" w:customStyle="1" w:styleId="31">
    <w:name w:val="BodyText1I2"/>
    <w:basedOn w:val="32"/>
    <w:next w:val="1"/>
    <w:qFormat/>
    <w:uiPriority w:val="99"/>
    <w:pPr>
      <w:ind w:firstLine="420" w:firstLineChars="200"/>
    </w:pPr>
    <w:rPr>
      <w:rFonts w:ascii="Times New Roman"/>
    </w:rPr>
  </w:style>
  <w:style w:type="paragraph" w:customStyle="1" w:styleId="32">
    <w:name w:val="BodyTextIndent"/>
    <w:basedOn w:val="1"/>
    <w:qFormat/>
    <w:uiPriority w:val="99"/>
    <w:pPr>
      <w:ind w:firstLine="720" w:firstLineChars="225"/>
      <w:textAlignment w:val="baseline"/>
    </w:pPr>
    <w:rPr>
      <w:rFonts w:ascii="仿宋_GB2312"/>
    </w:rPr>
  </w:style>
  <w:style w:type="paragraph" w:customStyle="1" w:styleId="33">
    <w:name w:val="Char Char Char Char"/>
    <w:qFormat/>
    <w:uiPriority w:val="0"/>
    <w:pPr>
      <w:ind w:firstLine="240"/>
    </w:pPr>
    <w:rPr>
      <w:rFonts w:ascii="Calibri" w:hAnsi="Calibri" w:eastAsia="宋体" w:cs="Calibri"/>
      <w:lang w:val="en-US" w:eastAsia="zh-CN" w:bidi="ar-SA"/>
    </w:rPr>
  </w:style>
  <w:style w:type="paragraph" w:customStyle="1" w:styleId="34">
    <w:name w:val="Char"/>
    <w:basedOn w:val="1"/>
    <w:qFormat/>
    <w:uiPriority w:val="0"/>
    <w:pPr>
      <w:spacing w:line="360" w:lineRule="auto"/>
    </w:pPr>
    <w:rPr>
      <w:rFonts w:ascii="仿宋_GB2312"/>
      <w:b/>
      <w:sz w:val="30"/>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7">
    <w:name w:val="Char Char Char Char Char Char Char Char Char Char Char Char Char"/>
    <w:basedOn w:val="1"/>
    <w:qFormat/>
    <w:uiPriority w:val="0"/>
  </w:style>
  <w:style w:type="paragraph" w:customStyle="1" w:styleId="38">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39">
    <w:name w:val="主题标"/>
    <w:basedOn w:val="1"/>
    <w:next w:val="4"/>
    <w:qFormat/>
    <w:uiPriority w:val="0"/>
    <w:pPr>
      <w:jc w:val="center"/>
    </w:pPr>
    <w:rPr>
      <w:rFonts w:eastAsia="方正小标宋简体"/>
      <w:sz w:val="44"/>
    </w:rPr>
  </w:style>
  <w:style w:type="paragraph" w:customStyle="1" w:styleId="40">
    <w:name w:val="正文1"/>
    <w:qFormat/>
    <w:uiPriority w:val="0"/>
    <w:pPr>
      <w:jc w:val="both"/>
    </w:pPr>
    <w:rPr>
      <w:rFonts w:ascii="Times New Roman" w:hAnsi="Times New Roman" w:eastAsia="宋体" w:cs="Times New Roman"/>
      <w:kern w:val="2"/>
      <w:sz w:val="21"/>
      <w:lang w:val="en-US" w:eastAsia="zh-CN" w:bidi="ar-SA"/>
    </w:rPr>
  </w:style>
  <w:style w:type="paragraph" w:customStyle="1" w:styleId="41">
    <w:name w:val="p19"/>
    <w:basedOn w:val="1"/>
    <w:qFormat/>
    <w:uiPriority w:val="0"/>
    <w:pPr>
      <w:widowControl/>
    </w:pPr>
    <w:rPr>
      <w:rFonts w:eastAsia="宋体"/>
      <w:kern w:val="0"/>
    </w:rPr>
  </w:style>
  <w:style w:type="paragraph" w:customStyle="1" w:styleId="42">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43">
    <w:name w:val="Char Char Char Char Char Char"/>
    <w:basedOn w:val="1"/>
    <w:qFormat/>
    <w:uiPriority w:val="0"/>
    <w:pPr>
      <w:widowControl/>
      <w:spacing w:after="160" w:line="240" w:lineRule="exact"/>
      <w:jc w:val="left"/>
    </w:pPr>
  </w:style>
  <w:style w:type="paragraph" w:customStyle="1" w:styleId="44">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45">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46">
    <w:name w:val="List Paragraph"/>
    <w:basedOn w:val="1"/>
    <w:qFormat/>
    <w:uiPriority w:val="34"/>
    <w:pPr>
      <w:ind w:firstLine="420" w:firstLineChars="200"/>
    </w:pPr>
  </w:style>
  <w:style w:type="paragraph" w:customStyle="1" w:styleId="47">
    <w:name w:val="Char1"/>
    <w:basedOn w:val="1"/>
    <w:qFormat/>
    <w:uiPriority w:val="0"/>
    <w:pPr>
      <w:widowControl/>
      <w:spacing w:after="160" w:line="240" w:lineRule="exact"/>
      <w:jc w:val="left"/>
    </w:pPr>
    <w:rPr>
      <w:rFonts w:ascii="Verdana" w:hAnsi="Verdana"/>
      <w:kern w:val="0"/>
      <w:sz w:val="24"/>
      <w:lang w:eastAsia="en-US"/>
    </w:rPr>
  </w:style>
  <w:style w:type="character" w:customStyle="1" w:styleId="48">
    <w:name w:val="NormalCharacter"/>
    <w:link w:val="21"/>
    <w:qFormat/>
    <w:uiPriority w:val="99"/>
  </w:style>
  <w:style w:type="character" w:customStyle="1" w:styleId="49">
    <w:name w:val="页脚 Char Char"/>
    <w:basedOn w:val="14"/>
    <w:link w:val="6"/>
    <w:qFormat/>
    <w:uiPriority w:val="99"/>
    <w:rPr>
      <w:rFonts w:eastAsia="仿宋_GB2312"/>
      <w:kern w:val="2"/>
      <w:sz w:val="1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粤人社报</Template>
  <Company>P R C</Company>
  <Pages>12</Pages>
  <Words>1534</Words>
  <Characters>5466</Characters>
  <Lines>72</Lines>
  <Paragraphs>20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2021-01-06T07:50:00Z</dcterms:created>
  <dc:creator>Administrator</dc:creator>
  <cp:lastModifiedBy>刘文湘</cp:lastModifiedBy>
  <cp:lastPrinted>2021-01-28T02:30:00Z</cp:lastPrinted>
  <dcterms:modified xsi:type="dcterms:W3CDTF">2021-02-01T01:18:43Z</dcterms:modified>
  <dc:subject>关于卓志强等11名同志职务任免的请示</dc:subject>
  <dc:title>粤人社报〔2016〕64号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